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Override PartName="/word/header1.xml" ContentType="application/vnd.openxmlformats-officedocument.wordprocessingml.header+xml"/>
  <Default Extension="png" ContentType="image/png"/>
  <Default Extension="jpeg" ContentType="image/jpeg"/>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spacing w:before="62"/>
        <w:ind w:right="112"/>
        <w:jc w:val="right"/>
      </w:pPr>
      <w:r>
        <w:rPr>
          <w:u w:val="single"/>
        </w:rPr>
        <w:t>Projekt z dnia 06.06. 2025 r.</w:t>
      </w:r>
    </w:p>
    <w:p>
      <w:pPr>
        <w:pStyle w:val="BodyText"/>
        <w:rPr>
          <w:sz w:val="20"/>
        </w:rPr>
      </w:pPr>
    </w:p>
    <w:p>
      <w:pPr>
        <w:pStyle w:val="BodyText"/>
        <w:spacing w:before="2"/>
        <w:rPr>
          <w:sz w:val="20"/>
        </w:rPr>
      </w:pPr>
    </w:p>
    <w:p>
      <w:pPr>
        <w:pStyle w:val="Heading1"/>
        <w:spacing w:before="90"/>
        <w:ind w:left="374" w:right="422"/>
        <w:jc w:val="center"/>
      </w:pPr>
      <w:r>
        <w:rPr/>
        <w:t>R O Z P O R Z Ą D Z E N I E</w:t>
      </w:r>
    </w:p>
    <w:p>
      <w:pPr>
        <w:spacing w:before="138"/>
        <w:ind w:left="421" w:right="417" w:firstLine="0"/>
        <w:jc w:val="center"/>
        <w:rPr>
          <w:sz w:val="16"/>
        </w:rPr>
      </w:pPr>
      <w:r>
        <w:rPr>
          <w:b/>
          <w:sz w:val="24"/>
        </w:rPr>
        <w:t>M I N I S T R A I N F R A S T R U K T U R Y </w:t>
      </w:r>
      <w:r>
        <w:rPr>
          <w:b/>
          <w:position w:val="7"/>
          <w:sz w:val="16"/>
        </w:rPr>
        <w:t>1 </w:t>
      </w:r>
      <w:r>
        <w:rPr>
          <w:position w:val="7"/>
          <w:sz w:val="16"/>
        </w:rPr>
        <w:t>)</w:t>
      </w:r>
    </w:p>
    <w:p>
      <w:pPr>
        <w:pStyle w:val="BodyText"/>
        <w:spacing w:before="5"/>
        <w:rPr>
          <w:sz w:val="22"/>
        </w:rPr>
      </w:pPr>
    </w:p>
    <w:p>
      <w:pPr>
        <w:pStyle w:val="BodyText"/>
        <w:ind w:left="421" w:right="418"/>
        <w:jc w:val="center"/>
      </w:pPr>
      <w:r>
        <w:rPr/>
        <w:t>z dnia ………………. 2025 r.</w:t>
      </w:r>
    </w:p>
    <w:p>
      <w:pPr>
        <w:pStyle w:val="BodyText"/>
        <w:spacing w:before="5"/>
        <w:rPr>
          <w:sz w:val="22"/>
        </w:rPr>
      </w:pPr>
    </w:p>
    <w:p>
      <w:pPr>
        <w:pStyle w:val="Heading1"/>
        <w:spacing w:line="360" w:lineRule="auto" w:before="0"/>
        <w:ind w:left="421" w:right="422"/>
        <w:jc w:val="center"/>
      </w:pPr>
      <w:r>
        <w:rPr/>
        <w:t>zmieniające rozporządzenie w sprawie szczegółowych warunków technicznych dla znaków i sygnałów drogowych oraz urządzeń bezpieczeństwa ruchu drogowego</w:t>
      </w:r>
    </w:p>
    <w:p>
      <w:pPr>
        <w:spacing w:before="5"/>
        <w:ind w:left="421" w:right="420" w:firstLine="0"/>
        <w:jc w:val="center"/>
        <w:rPr>
          <w:b/>
          <w:sz w:val="24"/>
        </w:rPr>
      </w:pPr>
      <w:r>
        <w:rPr>
          <w:b/>
          <w:sz w:val="24"/>
        </w:rPr>
        <w:t>i warunków ich umieszczania na drogach</w:t>
      </w:r>
    </w:p>
    <w:p>
      <w:pPr>
        <w:pStyle w:val="BodyText"/>
        <w:rPr>
          <w:b/>
          <w:sz w:val="26"/>
        </w:rPr>
      </w:pPr>
    </w:p>
    <w:p>
      <w:pPr>
        <w:pStyle w:val="BodyText"/>
        <w:spacing w:line="360" w:lineRule="auto" w:before="199"/>
        <w:ind w:left="118" w:right="112" w:firstLine="510"/>
        <w:jc w:val="both"/>
      </w:pPr>
      <w:r>
        <w:rPr/>
        <w:t>Na podstawie art. 7 ust. 3 ustawy z dnia 20 czerwca 1997 r. </w:t>
      </w:r>
      <w:r>
        <w:rPr>
          <w:rFonts w:ascii="Symbol" w:hAnsi="Symbol"/>
        </w:rPr>
        <w:t></w:t>
      </w:r>
      <w:r>
        <w:rPr/>
        <w:t> Prawo o ruchu drogowym (Dz. U. z 2024 r. poz. 1251) zarządza się, co następuje:</w:t>
      </w:r>
    </w:p>
    <w:p>
      <w:pPr>
        <w:pStyle w:val="BodyText"/>
        <w:spacing w:line="360" w:lineRule="auto" w:before="125"/>
        <w:ind w:left="118" w:right="112" w:firstLine="510"/>
        <w:jc w:val="both"/>
      </w:pPr>
      <w:r>
        <w:rPr/>
        <w:t>§ 1. W rozporządzeniu Ministra Infrastruktury z dnia 3 lipca 2003 r. w sprawie szczegółowych warunków technicznych dla znaków i sygnałów drogowych oraz urządzeń bezpieczeństwa ruchu drogowego i warunków ich umieszczania na drogach (Dz. U. z 2019 r. poz. 2311, z 2020 r. poz. 862, z 2021 r. poz. 438 i 2066 oraz z 2022 r. poz. 2377) wprowadza się następujące zmiany:</w:t>
      </w:r>
    </w:p>
    <w:p>
      <w:pPr>
        <w:pStyle w:val="ListParagraph"/>
        <w:numPr>
          <w:ilvl w:val="0"/>
          <w:numId w:val="1"/>
        </w:numPr>
        <w:tabs>
          <w:tab w:pos="627" w:val="left" w:leader="none"/>
          <w:tab w:pos="628" w:val="left" w:leader="none"/>
        </w:tabs>
        <w:spacing w:line="240" w:lineRule="auto" w:before="5" w:after="0"/>
        <w:ind w:left="628" w:right="0" w:hanging="510"/>
        <w:jc w:val="left"/>
        <w:rPr>
          <w:sz w:val="24"/>
        </w:rPr>
      </w:pPr>
      <w:r>
        <w:rPr>
          <w:sz w:val="24"/>
        </w:rPr>
        <w:t>w załączniku nr</w:t>
      </w:r>
      <w:r>
        <w:rPr>
          <w:spacing w:val="-3"/>
          <w:sz w:val="24"/>
        </w:rPr>
        <w:t> </w:t>
      </w:r>
      <w:r>
        <w:rPr>
          <w:sz w:val="24"/>
        </w:rPr>
        <w:t>1:</w:t>
      </w:r>
    </w:p>
    <w:p>
      <w:pPr>
        <w:pStyle w:val="ListParagraph"/>
        <w:numPr>
          <w:ilvl w:val="1"/>
          <w:numId w:val="1"/>
        </w:numPr>
        <w:tabs>
          <w:tab w:pos="1103" w:val="left" w:leader="none"/>
          <w:tab w:pos="1104" w:val="left" w:leader="none"/>
        </w:tabs>
        <w:spacing w:line="240" w:lineRule="auto" w:before="138" w:after="0"/>
        <w:ind w:left="1104" w:right="0" w:hanging="476"/>
        <w:jc w:val="left"/>
        <w:rPr>
          <w:sz w:val="24"/>
        </w:rPr>
      </w:pPr>
      <w:r>
        <w:rPr>
          <w:sz w:val="24"/>
        </w:rPr>
        <w:t>w części 1 „Warunki techniczne umieszczania znaków</w:t>
      </w:r>
      <w:r>
        <w:rPr>
          <w:spacing w:val="-25"/>
          <w:sz w:val="24"/>
        </w:rPr>
        <w:t> </w:t>
      </w:r>
      <w:r>
        <w:rPr>
          <w:sz w:val="24"/>
        </w:rPr>
        <w:t>drogowych”:</w:t>
      </w:r>
    </w:p>
    <w:p>
      <w:pPr>
        <w:pStyle w:val="ListParagraph"/>
        <w:numPr>
          <w:ilvl w:val="2"/>
          <w:numId w:val="1"/>
        </w:numPr>
        <w:tabs>
          <w:tab w:pos="1501" w:val="left" w:leader="none"/>
          <w:tab w:pos="1502" w:val="left" w:leader="none"/>
        </w:tabs>
        <w:spacing w:line="360" w:lineRule="auto" w:before="138" w:after="0"/>
        <w:ind w:left="1502" w:right="112" w:hanging="397"/>
        <w:jc w:val="left"/>
        <w:rPr>
          <w:sz w:val="24"/>
        </w:rPr>
      </w:pPr>
      <w:r>
        <w:rPr>
          <w:sz w:val="24"/>
        </w:rPr>
        <w:t>w pkt 1.4.1 w akapicie pierwszym wprowadzenie do wyliczenia otrzymuje brzmienie:</w:t>
      </w:r>
    </w:p>
    <w:p>
      <w:pPr>
        <w:pStyle w:val="BodyText"/>
        <w:spacing w:line="360" w:lineRule="auto" w:before="5"/>
        <w:ind w:left="1501" w:right="112"/>
        <w:jc w:val="both"/>
      </w:pPr>
      <w:r>
        <w:rPr/>
        <w:t>„Wszelkie napisy na znakach, tabliczkach do znaków oraz na tablicach umieszczonych dla potrzeb ruchu drogowego wykonuje się literami i cyframi odpowiadającymi wzorom podanym w punkcie 1.4.3, z wyjątkiem napisów umieszczonych na licach znaków kierunku i miejscowości wykonanych z folii pryzmatycznych, w grupie wielkości „wielkie”, a w szczególności tablic E-1a, E-1c, E-2d, E-14, E-20 i E-20a, zlokalizowanych na autostradzie lub drodze ekspresowej. Dla lic wyżej wymienionych znaków wykonanych z folii pryzmatycznych należy zastosować niżej wymienione korekty wymiarów podanych w tabelach 1.8 i 1.10 oraz w punkcie 1.4.3:”,</w:t>
      </w:r>
    </w:p>
    <w:p>
      <w:pPr>
        <w:pStyle w:val="ListParagraph"/>
        <w:numPr>
          <w:ilvl w:val="1"/>
          <w:numId w:val="1"/>
        </w:numPr>
        <w:tabs>
          <w:tab w:pos="1103" w:val="left" w:leader="none"/>
          <w:tab w:pos="1104" w:val="left" w:leader="none"/>
        </w:tabs>
        <w:spacing w:line="240" w:lineRule="auto" w:before="5" w:after="0"/>
        <w:ind w:left="1104" w:right="0" w:hanging="476"/>
        <w:jc w:val="left"/>
        <w:rPr>
          <w:sz w:val="24"/>
        </w:rPr>
      </w:pPr>
      <w:r>
        <w:rPr>
          <w:sz w:val="24"/>
        </w:rPr>
        <w:t>w części 2 „Znaki</w:t>
      </w:r>
      <w:r>
        <w:rPr>
          <w:spacing w:val="-8"/>
          <w:sz w:val="24"/>
        </w:rPr>
        <w:t> </w:t>
      </w:r>
      <w:r>
        <w:rPr>
          <w:sz w:val="24"/>
        </w:rPr>
        <w:t>ostrzegawcze”:</w:t>
      </w:r>
    </w:p>
    <w:p>
      <w:pPr>
        <w:pStyle w:val="BodyText"/>
        <w:spacing w:before="9"/>
        <w:rPr>
          <w:sz w:val="9"/>
        </w:rPr>
      </w:pPr>
      <w:r>
        <w:rPr/>
        <w:pict>
          <v:line style="position:absolute;mso-position-horizontal-relative:page;mso-position-vertical-relative:paragraph;z-index:0;mso-wrap-distance-left:0;mso-wrap-distance-right:0" from="70.900002pt,8.084926pt" to="214.400002pt,8.084926pt" stroked="true" strokeweight="1pt" strokecolor="#000000">
            <v:stroke dashstyle="solid"/>
            <w10:wrap type="topAndBottom"/>
          </v:line>
        </w:pict>
      </w:r>
    </w:p>
    <w:p>
      <w:pPr>
        <w:pStyle w:val="BodyText"/>
        <w:spacing w:before="7"/>
        <w:rPr>
          <w:sz w:val="10"/>
        </w:rPr>
      </w:pPr>
    </w:p>
    <w:p>
      <w:pPr>
        <w:spacing w:before="91"/>
        <w:ind w:left="402" w:right="112" w:hanging="284"/>
        <w:jc w:val="both"/>
        <w:rPr>
          <w:sz w:val="20"/>
        </w:rPr>
      </w:pPr>
      <w:r>
        <w:rPr>
          <w:position w:val="6"/>
          <w:sz w:val="13"/>
        </w:rPr>
        <w:t>1) </w:t>
      </w:r>
      <w:r>
        <w:rPr>
          <w:sz w:val="20"/>
        </w:rPr>
        <w:t>Minister Infrastruktury kieruje działem administracji rządowej – transport, na podstawie § 1 ust. 2 pkt 3 rozporządzenia</w:t>
      </w:r>
      <w:r>
        <w:rPr>
          <w:spacing w:val="-9"/>
          <w:sz w:val="20"/>
        </w:rPr>
        <w:t> </w:t>
      </w:r>
      <w:r>
        <w:rPr>
          <w:sz w:val="20"/>
        </w:rPr>
        <w:t>Prezesa</w:t>
      </w:r>
      <w:r>
        <w:rPr>
          <w:spacing w:val="-10"/>
          <w:sz w:val="20"/>
        </w:rPr>
        <w:t> </w:t>
      </w:r>
      <w:r>
        <w:rPr>
          <w:sz w:val="20"/>
        </w:rPr>
        <w:t>Rady</w:t>
      </w:r>
      <w:r>
        <w:rPr>
          <w:spacing w:val="-10"/>
          <w:sz w:val="20"/>
        </w:rPr>
        <w:t> </w:t>
      </w:r>
      <w:r>
        <w:rPr>
          <w:sz w:val="20"/>
        </w:rPr>
        <w:t>Ministrów</w:t>
      </w:r>
      <w:r>
        <w:rPr>
          <w:spacing w:val="-10"/>
          <w:sz w:val="20"/>
        </w:rPr>
        <w:t> </w:t>
      </w:r>
      <w:r>
        <w:rPr>
          <w:sz w:val="20"/>
        </w:rPr>
        <w:t>z</w:t>
      </w:r>
      <w:r>
        <w:rPr>
          <w:spacing w:val="-11"/>
          <w:sz w:val="20"/>
        </w:rPr>
        <w:t> </w:t>
      </w:r>
      <w:r>
        <w:rPr>
          <w:sz w:val="20"/>
        </w:rPr>
        <w:t>dnia</w:t>
      </w:r>
      <w:r>
        <w:rPr>
          <w:spacing w:val="-11"/>
          <w:sz w:val="20"/>
        </w:rPr>
        <w:t> </w:t>
      </w:r>
      <w:r>
        <w:rPr>
          <w:sz w:val="20"/>
        </w:rPr>
        <w:t>18</w:t>
      </w:r>
      <w:r>
        <w:rPr>
          <w:spacing w:val="-11"/>
          <w:sz w:val="20"/>
        </w:rPr>
        <w:t> </w:t>
      </w:r>
      <w:r>
        <w:rPr>
          <w:sz w:val="20"/>
        </w:rPr>
        <w:t>grudnia</w:t>
      </w:r>
      <w:r>
        <w:rPr>
          <w:spacing w:val="-11"/>
          <w:sz w:val="20"/>
        </w:rPr>
        <w:t> </w:t>
      </w:r>
      <w:r>
        <w:rPr>
          <w:sz w:val="20"/>
        </w:rPr>
        <w:t>2023</w:t>
      </w:r>
      <w:r>
        <w:rPr>
          <w:spacing w:val="-11"/>
          <w:sz w:val="20"/>
        </w:rPr>
        <w:t> </w:t>
      </w:r>
      <w:r>
        <w:rPr>
          <w:sz w:val="20"/>
        </w:rPr>
        <w:t>r.</w:t>
      </w:r>
      <w:r>
        <w:rPr>
          <w:spacing w:val="-11"/>
          <w:sz w:val="20"/>
        </w:rPr>
        <w:t> </w:t>
      </w:r>
      <w:r>
        <w:rPr>
          <w:sz w:val="20"/>
        </w:rPr>
        <w:t>w</w:t>
      </w:r>
      <w:r>
        <w:rPr>
          <w:spacing w:val="-11"/>
          <w:sz w:val="20"/>
        </w:rPr>
        <w:t> </w:t>
      </w:r>
      <w:r>
        <w:rPr>
          <w:sz w:val="20"/>
        </w:rPr>
        <w:t>sprawie</w:t>
      </w:r>
      <w:r>
        <w:rPr>
          <w:spacing w:val="-10"/>
          <w:sz w:val="20"/>
        </w:rPr>
        <w:t> </w:t>
      </w:r>
      <w:r>
        <w:rPr>
          <w:sz w:val="20"/>
        </w:rPr>
        <w:t>szczegółowego</w:t>
      </w:r>
      <w:r>
        <w:rPr>
          <w:spacing w:val="-9"/>
          <w:sz w:val="20"/>
        </w:rPr>
        <w:t> </w:t>
      </w:r>
      <w:r>
        <w:rPr>
          <w:sz w:val="20"/>
        </w:rPr>
        <w:t>zakresu</w:t>
      </w:r>
      <w:r>
        <w:rPr>
          <w:spacing w:val="-10"/>
          <w:sz w:val="20"/>
        </w:rPr>
        <w:t> </w:t>
      </w:r>
      <w:r>
        <w:rPr>
          <w:sz w:val="20"/>
        </w:rPr>
        <w:t>działania Ministra Infrastruktury (Dz. U. z 2023 r. poz.</w:t>
      </w:r>
      <w:r>
        <w:rPr>
          <w:spacing w:val="-11"/>
          <w:sz w:val="20"/>
        </w:rPr>
        <w:t> </w:t>
      </w:r>
      <w:r>
        <w:rPr>
          <w:sz w:val="20"/>
        </w:rPr>
        <w:t>2725).</w:t>
      </w:r>
    </w:p>
    <w:p>
      <w:pPr>
        <w:spacing w:after="0"/>
        <w:jc w:val="both"/>
        <w:rPr>
          <w:sz w:val="20"/>
        </w:rPr>
        <w:sectPr>
          <w:type w:val="continuous"/>
          <w:pgSz w:w="11910" w:h="16840"/>
          <w:pgMar w:top="1480" w:bottom="280" w:left="1300" w:right="1320"/>
        </w:sectPr>
      </w:pPr>
    </w:p>
    <w:p>
      <w:pPr>
        <w:pStyle w:val="BodyText"/>
        <w:rPr>
          <w:sz w:val="20"/>
        </w:rPr>
      </w:pPr>
    </w:p>
    <w:p>
      <w:pPr>
        <w:pStyle w:val="BodyText"/>
        <w:spacing w:before="2"/>
        <w:rPr>
          <w:sz w:val="22"/>
        </w:rPr>
      </w:pPr>
    </w:p>
    <w:p>
      <w:pPr>
        <w:pStyle w:val="ListParagraph"/>
        <w:numPr>
          <w:ilvl w:val="0"/>
          <w:numId w:val="2"/>
        </w:numPr>
        <w:tabs>
          <w:tab w:pos="1121" w:val="left" w:leader="none"/>
          <w:tab w:pos="1122" w:val="left" w:leader="none"/>
        </w:tabs>
        <w:spacing w:line="240" w:lineRule="auto" w:before="90" w:after="0"/>
        <w:ind w:left="1122" w:right="0" w:hanging="397"/>
        <w:jc w:val="left"/>
        <w:rPr>
          <w:sz w:val="24"/>
        </w:rPr>
      </w:pPr>
      <w:r>
        <w:rPr>
          <w:sz w:val="24"/>
        </w:rPr>
        <w:t>w pkt 2.2.9 akapit otrzymuje</w:t>
      </w:r>
      <w:r>
        <w:rPr>
          <w:spacing w:val="-8"/>
          <w:sz w:val="24"/>
        </w:rPr>
        <w:t> </w:t>
      </w:r>
      <w:r>
        <w:rPr>
          <w:sz w:val="24"/>
        </w:rPr>
        <w:t>brzmienie:</w:t>
      </w:r>
    </w:p>
    <w:p>
      <w:pPr>
        <w:pStyle w:val="BodyText"/>
        <w:spacing w:line="360" w:lineRule="auto" w:before="138"/>
        <w:ind w:left="1121" w:right="111"/>
        <w:jc w:val="both"/>
      </w:pPr>
      <w:r>
        <w:rPr/>
        <w:t>„Znak A-8 „skrzyżowanie o ruchu okrężnym” (rys. 2.2.9.1) stosuje się przed skrzyżowaniami, na których ruch odbywa się po obwiedni wyspy (z wyjątkiem tramwajów, które mogą przecinać wyspę), a które są oznakowane znakami C-12.</w:t>
      </w:r>
      <w:r>
        <w:rPr>
          <w:spacing w:val="-6"/>
        </w:rPr>
        <w:t> </w:t>
      </w:r>
      <w:r>
        <w:rPr/>
        <w:t>Znak</w:t>
      </w:r>
      <w:r>
        <w:rPr>
          <w:spacing w:val="-7"/>
        </w:rPr>
        <w:t> </w:t>
      </w:r>
      <w:r>
        <w:rPr/>
        <w:t>A-8</w:t>
      </w:r>
      <w:r>
        <w:rPr>
          <w:spacing w:val="-7"/>
        </w:rPr>
        <w:t> </w:t>
      </w:r>
      <w:r>
        <w:rPr/>
        <w:t>stosuje</w:t>
      </w:r>
      <w:r>
        <w:rPr>
          <w:spacing w:val="-7"/>
        </w:rPr>
        <w:t> </w:t>
      </w:r>
      <w:r>
        <w:rPr/>
        <w:t>się,</w:t>
      </w:r>
      <w:r>
        <w:rPr>
          <w:spacing w:val="-7"/>
        </w:rPr>
        <w:t> </w:t>
      </w:r>
      <w:r>
        <w:rPr/>
        <w:t>gdy</w:t>
      </w:r>
      <w:r>
        <w:rPr>
          <w:spacing w:val="-7"/>
        </w:rPr>
        <w:t> </w:t>
      </w:r>
      <w:r>
        <w:rPr/>
        <w:t>skrzyżowanie</w:t>
      </w:r>
      <w:r>
        <w:rPr>
          <w:spacing w:val="-6"/>
        </w:rPr>
        <w:t> </w:t>
      </w:r>
      <w:r>
        <w:rPr/>
        <w:t>z</w:t>
      </w:r>
      <w:r>
        <w:rPr>
          <w:spacing w:val="-7"/>
        </w:rPr>
        <w:t> </w:t>
      </w:r>
      <w:r>
        <w:rPr/>
        <w:t>ruchem</w:t>
      </w:r>
      <w:r>
        <w:rPr>
          <w:spacing w:val="-7"/>
        </w:rPr>
        <w:t> </w:t>
      </w:r>
      <w:r>
        <w:rPr/>
        <w:t>okrężnym</w:t>
      </w:r>
      <w:r>
        <w:rPr>
          <w:spacing w:val="-7"/>
        </w:rPr>
        <w:t> </w:t>
      </w:r>
      <w:r>
        <w:rPr/>
        <w:t>występuje</w:t>
      </w:r>
      <w:r>
        <w:rPr>
          <w:spacing w:val="-6"/>
        </w:rPr>
        <w:t> </w:t>
      </w:r>
      <w:r>
        <w:rPr/>
        <w:t>na drodze</w:t>
      </w:r>
      <w:r>
        <w:rPr>
          <w:spacing w:val="-10"/>
        </w:rPr>
        <w:t> </w:t>
      </w:r>
      <w:r>
        <w:rPr/>
        <w:t>oznakowanej</w:t>
      </w:r>
      <w:r>
        <w:rPr>
          <w:spacing w:val="-10"/>
        </w:rPr>
        <w:t> </w:t>
      </w:r>
      <w:r>
        <w:rPr/>
        <w:t>wcześniej</w:t>
      </w:r>
      <w:r>
        <w:rPr>
          <w:spacing w:val="-8"/>
        </w:rPr>
        <w:t> </w:t>
      </w:r>
      <w:r>
        <w:rPr/>
        <w:t>jako</w:t>
      </w:r>
      <w:r>
        <w:rPr>
          <w:spacing w:val="-9"/>
        </w:rPr>
        <w:t> </w:t>
      </w:r>
      <w:r>
        <w:rPr/>
        <w:t>droga</w:t>
      </w:r>
      <w:r>
        <w:rPr>
          <w:spacing w:val="-10"/>
        </w:rPr>
        <w:t> </w:t>
      </w:r>
      <w:r>
        <w:rPr/>
        <w:t>z</w:t>
      </w:r>
      <w:r>
        <w:rPr>
          <w:spacing w:val="-10"/>
        </w:rPr>
        <w:t> </w:t>
      </w:r>
      <w:r>
        <w:rPr/>
        <w:t>pierwszeństwem</w:t>
      </w:r>
      <w:r>
        <w:rPr>
          <w:spacing w:val="-8"/>
        </w:rPr>
        <w:t> </w:t>
      </w:r>
      <w:r>
        <w:rPr/>
        <w:t>i</w:t>
      </w:r>
      <w:r>
        <w:rPr>
          <w:spacing w:val="-10"/>
        </w:rPr>
        <w:t> </w:t>
      </w:r>
      <w:r>
        <w:rPr/>
        <w:t>nie</w:t>
      </w:r>
      <w:r>
        <w:rPr>
          <w:spacing w:val="-10"/>
        </w:rPr>
        <w:t> </w:t>
      </w:r>
      <w:r>
        <w:rPr/>
        <w:t>jest</w:t>
      </w:r>
      <w:r>
        <w:rPr>
          <w:spacing w:val="-9"/>
        </w:rPr>
        <w:t> </w:t>
      </w:r>
      <w:r>
        <w:rPr/>
        <w:t>widoczne z dostatecznej odległości. Znaku A-8 można nie stosować, gdy zastosowano tablicę E-1 przed skrzyżowaniem o ruchu okrężnym (rys.</w:t>
      </w:r>
      <w:r>
        <w:rPr>
          <w:spacing w:val="-5"/>
        </w:rPr>
        <w:t> </w:t>
      </w:r>
      <w:r>
        <w:rPr/>
        <w:t>6.3.1.4).”,</w:t>
      </w:r>
    </w:p>
    <w:p>
      <w:pPr>
        <w:pStyle w:val="ListParagraph"/>
        <w:numPr>
          <w:ilvl w:val="0"/>
          <w:numId w:val="2"/>
        </w:numPr>
        <w:tabs>
          <w:tab w:pos="1121" w:val="left" w:leader="none"/>
          <w:tab w:pos="1122" w:val="left" w:leader="none"/>
        </w:tabs>
        <w:spacing w:line="240" w:lineRule="auto" w:before="5" w:after="0"/>
        <w:ind w:left="1122" w:right="0" w:hanging="397"/>
        <w:jc w:val="left"/>
        <w:rPr>
          <w:sz w:val="24"/>
        </w:rPr>
      </w:pPr>
      <w:r>
        <w:rPr>
          <w:sz w:val="24"/>
        </w:rPr>
        <w:t>w pkt 2.2.13 w akapicie zdanie trzecie otrzymuje</w:t>
      </w:r>
      <w:r>
        <w:rPr>
          <w:spacing w:val="-18"/>
          <w:sz w:val="24"/>
        </w:rPr>
        <w:t> </w:t>
      </w:r>
      <w:r>
        <w:rPr>
          <w:sz w:val="24"/>
        </w:rPr>
        <w:t>brzmienie:</w:t>
      </w:r>
    </w:p>
    <w:p>
      <w:pPr>
        <w:pStyle w:val="BodyText"/>
        <w:spacing w:line="360" w:lineRule="auto" w:before="138"/>
        <w:ind w:left="1121" w:right="111"/>
        <w:jc w:val="both"/>
      </w:pPr>
      <w:r>
        <w:rPr/>
        <w:t>„Jeżeli</w:t>
      </w:r>
      <w:r>
        <w:rPr>
          <w:spacing w:val="-8"/>
        </w:rPr>
        <w:t> </w:t>
      </w:r>
      <w:r>
        <w:rPr/>
        <w:t>progi</w:t>
      </w:r>
      <w:r>
        <w:rPr>
          <w:spacing w:val="-9"/>
        </w:rPr>
        <w:t> </w:t>
      </w:r>
      <w:r>
        <w:rPr/>
        <w:t>zwalniające</w:t>
      </w:r>
      <w:r>
        <w:rPr>
          <w:spacing w:val="-7"/>
        </w:rPr>
        <w:t> </w:t>
      </w:r>
      <w:r>
        <w:rPr/>
        <w:t>znajdują</w:t>
      </w:r>
      <w:r>
        <w:rPr>
          <w:spacing w:val="-8"/>
        </w:rPr>
        <w:t> </w:t>
      </w:r>
      <w:r>
        <w:rPr/>
        <w:t>się</w:t>
      </w:r>
      <w:r>
        <w:rPr>
          <w:spacing w:val="-9"/>
        </w:rPr>
        <w:t> </w:t>
      </w:r>
      <w:r>
        <w:rPr/>
        <w:t>w</w:t>
      </w:r>
      <w:r>
        <w:rPr>
          <w:spacing w:val="-9"/>
        </w:rPr>
        <w:t> </w:t>
      </w:r>
      <w:r>
        <w:rPr/>
        <w:t>strefie</w:t>
      </w:r>
      <w:r>
        <w:rPr>
          <w:spacing w:val="-9"/>
        </w:rPr>
        <w:t> </w:t>
      </w:r>
      <w:r>
        <w:rPr/>
        <w:t>ograniczonej</w:t>
      </w:r>
      <w:r>
        <w:rPr>
          <w:spacing w:val="-9"/>
        </w:rPr>
        <w:t> </w:t>
      </w:r>
      <w:r>
        <w:rPr/>
        <w:t>prędkości</w:t>
      </w:r>
      <w:r>
        <w:rPr>
          <w:spacing w:val="-9"/>
        </w:rPr>
        <w:t> </w:t>
      </w:r>
      <w:r>
        <w:rPr/>
        <w:t>do</w:t>
      </w:r>
      <w:r>
        <w:rPr>
          <w:spacing w:val="-9"/>
        </w:rPr>
        <w:t> </w:t>
      </w:r>
      <w:r>
        <w:rPr/>
        <w:t>10,</w:t>
      </w:r>
      <w:r>
        <w:rPr>
          <w:spacing w:val="-9"/>
        </w:rPr>
        <w:t> </w:t>
      </w:r>
      <w:r>
        <w:rPr/>
        <w:t>20 lub 30 km/h (znak B-43) lub w strefie zamieszkania (znak D-40), dopuszcza się niestosowanie znaku</w:t>
      </w:r>
      <w:r>
        <w:rPr>
          <w:spacing w:val="-14"/>
        </w:rPr>
        <w:t> </w:t>
      </w:r>
      <w:r>
        <w:rPr/>
        <w:t>A-11a.”,</w:t>
      </w:r>
    </w:p>
    <w:p>
      <w:pPr>
        <w:pStyle w:val="ListParagraph"/>
        <w:numPr>
          <w:ilvl w:val="0"/>
          <w:numId w:val="2"/>
        </w:numPr>
        <w:tabs>
          <w:tab w:pos="1121" w:val="left" w:leader="none"/>
          <w:tab w:pos="1122" w:val="left" w:leader="none"/>
        </w:tabs>
        <w:spacing w:line="240" w:lineRule="auto" w:before="5" w:after="0"/>
        <w:ind w:left="1122" w:right="0" w:hanging="397"/>
        <w:jc w:val="left"/>
        <w:rPr>
          <w:sz w:val="24"/>
        </w:rPr>
      </w:pPr>
      <w:r>
        <w:rPr>
          <w:sz w:val="24"/>
        </w:rPr>
        <w:t>w pkt 2.2.18 akapit drugi otrzymuje</w:t>
      </w:r>
      <w:r>
        <w:rPr>
          <w:spacing w:val="-11"/>
          <w:sz w:val="24"/>
        </w:rPr>
        <w:t> </w:t>
      </w:r>
      <w:r>
        <w:rPr>
          <w:sz w:val="24"/>
        </w:rPr>
        <w:t>brzmienie:</w:t>
      </w:r>
    </w:p>
    <w:p>
      <w:pPr>
        <w:pStyle w:val="BodyText"/>
        <w:spacing w:line="360" w:lineRule="auto" w:before="137"/>
        <w:ind w:left="1121" w:right="112"/>
        <w:jc w:val="both"/>
      </w:pPr>
      <w:r>
        <w:rPr/>
        <w:t>„Znaki A-16 umieszcza się przed przejściem dla pieszych bez sygnalizacji świetlnej na drodze, na której prędkość dopuszczalna wynosi powyżej 50 km/h. Dopuszcza się stosowanie znaku przed przejściami bez sygnalizacji świetlnej wyznaczonymi pomiędzy skrzyżowaniami na drodze, na której prędkość dopuszczalna wynosi nie więcej niż 50 km/h.”,</w:t>
      </w:r>
    </w:p>
    <w:p>
      <w:pPr>
        <w:pStyle w:val="ListParagraph"/>
        <w:numPr>
          <w:ilvl w:val="1"/>
          <w:numId w:val="1"/>
        </w:numPr>
        <w:tabs>
          <w:tab w:pos="723" w:val="left" w:leader="none"/>
          <w:tab w:pos="724" w:val="left" w:leader="none"/>
        </w:tabs>
        <w:spacing w:line="240" w:lineRule="auto" w:before="4" w:after="0"/>
        <w:ind w:left="724" w:right="0" w:hanging="476"/>
        <w:jc w:val="left"/>
        <w:rPr>
          <w:sz w:val="24"/>
        </w:rPr>
      </w:pPr>
      <w:r>
        <w:rPr>
          <w:sz w:val="24"/>
        </w:rPr>
        <w:t>w części 3 „Znaki</w:t>
      </w:r>
      <w:r>
        <w:rPr>
          <w:spacing w:val="-15"/>
          <w:sz w:val="24"/>
        </w:rPr>
        <w:t> </w:t>
      </w:r>
      <w:r>
        <w:rPr>
          <w:sz w:val="24"/>
        </w:rPr>
        <w:t>zakazu”:</w:t>
      </w:r>
    </w:p>
    <w:p>
      <w:pPr>
        <w:pStyle w:val="ListParagraph"/>
        <w:numPr>
          <w:ilvl w:val="0"/>
          <w:numId w:val="2"/>
        </w:numPr>
        <w:tabs>
          <w:tab w:pos="1121" w:val="left" w:leader="none"/>
          <w:tab w:pos="1122" w:val="left" w:leader="none"/>
        </w:tabs>
        <w:spacing w:line="240" w:lineRule="auto" w:before="137" w:after="0"/>
        <w:ind w:left="1122" w:right="0" w:hanging="397"/>
        <w:jc w:val="left"/>
        <w:rPr>
          <w:sz w:val="24"/>
        </w:rPr>
      </w:pPr>
      <w:r>
        <w:rPr>
          <w:sz w:val="24"/>
        </w:rPr>
        <w:t>w pkt 3.2.15 akapit ósmy otrzymuje</w:t>
      </w:r>
      <w:r>
        <w:rPr>
          <w:spacing w:val="-9"/>
          <w:sz w:val="24"/>
        </w:rPr>
        <w:t> </w:t>
      </w:r>
      <w:r>
        <w:rPr>
          <w:sz w:val="24"/>
        </w:rPr>
        <w:t>brzmienie:</w:t>
      </w:r>
    </w:p>
    <w:p>
      <w:pPr>
        <w:pStyle w:val="BodyText"/>
        <w:spacing w:line="360" w:lineRule="auto" w:before="137"/>
        <w:ind w:left="1121" w:right="112"/>
        <w:jc w:val="both"/>
      </w:pPr>
      <w:r>
        <w:rPr/>
        <w:t>„Znak  B-6/8/9  „zakaz   wjazdu   pojazdów   innych   niż   samochodowe”  (rys. 3.2.15.6) stosuje się w celu wyeliminowania wjazdu pojazdów, których ruch na autostradzie lub drodze ekspresowej jest zabroniony. Znaki stosuje się na drogach prowadzących ruch bezpośrednio do autostrady lub drogi ekspresowej, jeżeli za znakiem nie ma możliwości wyboru innego kierunku niż wjazd na autostradę lub  drogę  ekspresową.  Znaku  nie  stosuje  się  łącznie  ze znakami D-7  oraz  D-9,  za  którymi  zakaz  ruchu  tych  pojazdów  wynika z odrębnych</w:t>
      </w:r>
      <w:r>
        <w:rPr>
          <w:spacing w:val="-2"/>
        </w:rPr>
        <w:t> </w:t>
      </w:r>
      <w:r>
        <w:rPr/>
        <w:t>przepisów.”,</w:t>
      </w:r>
    </w:p>
    <w:p>
      <w:pPr>
        <w:pStyle w:val="ListParagraph"/>
        <w:numPr>
          <w:ilvl w:val="0"/>
          <w:numId w:val="2"/>
        </w:numPr>
        <w:tabs>
          <w:tab w:pos="1121" w:val="left" w:leader="none"/>
          <w:tab w:pos="1122" w:val="left" w:leader="none"/>
        </w:tabs>
        <w:spacing w:line="240" w:lineRule="auto" w:before="4" w:after="0"/>
        <w:ind w:left="1122" w:right="0" w:hanging="397"/>
        <w:jc w:val="left"/>
        <w:rPr>
          <w:sz w:val="24"/>
        </w:rPr>
      </w:pPr>
      <w:r>
        <w:rPr>
          <w:sz w:val="24"/>
        </w:rPr>
        <w:t>w pkt 3.2.44 akapit drugi otrzymuje</w:t>
      </w:r>
      <w:r>
        <w:rPr>
          <w:spacing w:val="-9"/>
          <w:sz w:val="24"/>
        </w:rPr>
        <w:t> </w:t>
      </w:r>
      <w:r>
        <w:rPr>
          <w:sz w:val="24"/>
        </w:rPr>
        <w:t>brzmienie:</w:t>
      </w:r>
    </w:p>
    <w:p>
      <w:pPr>
        <w:pStyle w:val="BodyText"/>
        <w:spacing w:line="360" w:lineRule="auto" w:before="137"/>
        <w:ind w:left="1121" w:right="111"/>
        <w:jc w:val="both"/>
      </w:pPr>
      <w:r>
        <w:rPr/>
        <w:t>„W zależności od warunków drogowych, natężenia ruchu pojazdów i pieszych w</w:t>
      </w:r>
      <w:r>
        <w:rPr>
          <w:spacing w:val="-7"/>
        </w:rPr>
        <w:t> </w:t>
      </w:r>
      <w:r>
        <w:rPr/>
        <w:t>strefach</w:t>
      </w:r>
      <w:r>
        <w:rPr>
          <w:spacing w:val="-7"/>
        </w:rPr>
        <w:t> </w:t>
      </w:r>
      <w:r>
        <w:rPr/>
        <w:t>oznaczonych</w:t>
      </w:r>
      <w:r>
        <w:rPr>
          <w:spacing w:val="-7"/>
        </w:rPr>
        <w:t> </w:t>
      </w:r>
      <w:r>
        <w:rPr/>
        <w:t>znakiem</w:t>
      </w:r>
      <w:r>
        <w:rPr>
          <w:spacing w:val="-6"/>
        </w:rPr>
        <w:t> </w:t>
      </w:r>
      <w:r>
        <w:rPr/>
        <w:t>B-43</w:t>
      </w:r>
      <w:r>
        <w:rPr>
          <w:spacing w:val="-7"/>
        </w:rPr>
        <w:t> </w:t>
      </w:r>
      <w:r>
        <w:rPr/>
        <w:t>stosuje</w:t>
      </w:r>
      <w:r>
        <w:rPr>
          <w:spacing w:val="-7"/>
        </w:rPr>
        <w:t> </w:t>
      </w:r>
      <w:r>
        <w:rPr/>
        <w:t>się</w:t>
      </w:r>
      <w:r>
        <w:rPr>
          <w:spacing w:val="-7"/>
        </w:rPr>
        <w:t> </w:t>
      </w:r>
      <w:r>
        <w:rPr/>
        <w:t>ograniczenie</w:t>
      </w:r>
      <w:r>
        <w:rPr>
          <w:spacing w:val="-7"/>
        </w:rPr>
        <w:t> </w:t>
      </w:r>
      <w:r>
        <w:rPr/>
        <w:t>prędkości</w:t>
      </w:r>
      <w:r>
        <w:rPr>
          <w:spacing w:val="-7"/>
        </w:rPr>
        <w:t> </w:t>
      </w:r>
      <w:r>
        <w:rPr/>
        <w:t>do</w:t>
      </w:r>
      <w:r>
        <w:rPr>
          <w:spacing w:val="-7"/>
        </w:rPr>
        <w:t> </w:t>
      </w:r>
      <w:r>
        <w:rPr/>
        <w:t>10, 20, 30, 40 lub 50</w:t>
      </w:r>
      <w:r>
        <w:rPr>
          <w:spacing w:val="-2"/>
        </w:rPr>
        <w:t> </w:t>
      </w:r>
      <w:r>
        <w:rPr/>
        <w:t>km/h.”,</w:t>
      </w:r>
    </w:p>
    <w:p>
      <w:pPr>
        <w:pStyle w:val="ListParagraph"/>
        <w:numPr>
          <w:ilvl w:val="1"/>
          <w:numId w:val="1"/>
        </w:numPr>
        <w:tabs>
          <w:tab w:pos="723" w:val="left" w:leader="none"/>
          <w:tab w:pos="724" w:val="left" w:leader="none"/>
        </w:tabs>
        <w:spacing w:line="240" w:lineRule="auto" w:before="5" w:after="0"/>
        <w:ind w:left="724" w:right="0" w:hanging="476"/>
        <w:jc w:val="left"/>
        <w:rPr>
          <w:sz w:val="24"/>
        </w:rPr>
      </w:pPr>
      <w:r>
        <w:rPr>
          <w:sz w:val="24"/>
        </w:rPr>
        <w:t>w części 4 „Znaki</w:t>
      </w:r>
      <w:r>
        <w:rPr>
          <w:spacing w:val="-8"/>
          <w:sz w:val="24"/>
        </w:rPr>
        <w:t> </w:t>
      </w:r>
      <w:r>
        <w:rPr>
          <w:sz w:val="24"/>
        </w:rPr>
        <w:t>nakazu”:</w:t>
      </w:r>
    </w:p>
    <w:p>
      <w:pPr>
        <w:spacing w:after="0" w:line="240" w:lineRule="auto"/>
        <w:jc w:val="left"/>
        <w:rPr>
          <w:sz w:val="24"/>
        </w:rPr>
        <w:sectPr>
          <w:headerReference w:type="default" r:id="rId5"/>
          <w:pgSz w:w="11910" w:h="16840"/>
          <w:pgMar w:header="719" w:footer="0" w:top="980" w:bottom="280" w:left="1680" w:right="1320"/>
          <w:pgNumType w:start="2"/>
        </w:sectPr>
      </w:pPr>
    </w:p>
    <w:p>
      <w:pPr>
        <w:pStyle w:val="BodyText"/>
        <w:rPr>
          <w:sz w:val="20"/>
        </w:rPr>
      </w:pPr>
    </w:p>
    <w:p>
      <w:pPr>
        <w:pStyle w:val="BodyText"/>
        <w:spacing w:before="2"/>
        <w:rPr>
          <w:sz w:val="22"/>
        </w:rPr>
      </w:pPr>
    </w:p>
    <w:p>
      <w:pPr>
        <w:pStyle w:val="ListParagraph"/>
        <w:numPr>
          <w:ilvl w:val="0"/>
          <w:numId w:val="2"/>
        </w:numPr>
        <w:tabs>
          <w:tab w:pos="1121" w:val="left" w:leader="none"/>
          <w:tab w:pos="1122" w:val="left" w:leader="none"/>
        </w:tabs>
        <w:spacing w:line="240" w:lineRule="auto" w:before="90" w:after="0"/>
        <w:ind w:left="1122" w:right="0" w:hanging="397"/>
        <w:jc w:val="left"/>
        <w:rPr>
          <w:sz w:val="24"/>
        </w:rPr>
      </w:pPr>
      <w:r>
        <w:rPr>
          <w:sz w:val="24"/>
        </w:rPr>
        <w:t>w pkt 4.2.17 akapit trzeci otrzymuje</w:t>
      </w:r>
      <w:r>
        <w:rPr>
          <w:spacing w:val="-10"/>
          <w:sz w:val="24"/>
        </w:rPr>
        <w:t> </w:t>
      </w:r>
      <w:r>
        <w:rPr>
          <w:sz w:val="24"/>
        </w:rPr>
        <w:t>brzmienie:</w:t>
      </w:r>
    </w:p>
    <w:p>
      <w:pPr>
        <w:pStyle w:val="BodyText"/>
        <w:spacing w:line="360" w:lineRule="auto" w:before="138"/>
        <w:ind w:left="1121" w:right="112"/>
        <w:jc w:val="both"/>
      </w:pPr>
      <w:r>
        <w:rPr/>
        <w:t>„Znak C-16 umieszcza się również w osiedlach mieszkaniowych, na drogach publicznych, których przeznaczenie (tylko dla pieszych) może budzić wątpliwości. Znaku tego nie umieszcza się na drogach dla pieszych, których przeznaczenie dla pieszych jest oczywiste.”,</w:t>
      </w:r>
    </w:p>
    <w:p>
      <w:pPr>
        <w:pStyle w:val="ListParagraph"/>
        <w:numPr>
          <w:ilvl w:val="1"/>
          <w:numId w:val="1"/>
        </w:numPr>
        <w:tabs>
          <w:tab w:pos="723" w:val="left" w:leader="none"/>
          <w:tab w:pos="724" w:val="left" w:leader="none"/>
        </w:tabs>
        <w:spacing w:line="240" w:lineRule="auto" w:before="5" w:after="0"/>
        <w:ind w:left="724" w:right="0" w:hanging="476"/>
        <w:jc w:val="left"/>
        <w:rPr>
          <w:sz w:val="24"/>
        </w:rPr>
      </w:pPr>
      <w:r>
        <w:rPr>
          <w:sz w:val="24"/>
        </w:rPr>
        <w:t>w części 5 „Znaki</w:t>
      </w:r>
      <w:r>
        <w:rPr>
          <w:spacing w:val="-21"/>
          <w:sz w:val="24"/>
        </w:rPr>
        <w:t> </w:t>
      </w:r>
      <w:r>
        <w:rPr>
          <w:sz w:val="24"/>
        </w:rPr>
        <w:t>informacyjne”:</w:t>
      </w:r>
    </w:p>
    <w:p>
      <w:pPr>
        <w:pStyle w:val="BodyText"/>
        <w:tabs>
          <w:tab w:pos="1121" w:val="left" w:leader="none"/>
        </w:tabs>
        <w:spacing w:before="138"/>
        <w:ind w:left="725"/>
      </w:pPr>
      <w:r>
        <w:rPr/>
        <w:t>–</w:t>
        <w:tab/>
        <w:t>w pkt</w:t>
      </w:r>
      <w:r>
        <w:rPr>
          <w:spacing w:val="-2"/>
        </w:rPr>
        <w:t> </w:t>
      </w:r>
      <w:r>
        <w:rPr/>
        <w:t>5.1.1a:</w:t>
      </w:r>
    </w:p>
    <w:p>
      <w:pPr>
        <w:pStyle w:val="ListParagraph"/>
        <w:numPr>
          <w:ilvl w:val="2"/>
          <w:numId w:val="1"/>
        </w:numPr>
        <w:tabs>
          <w:tab w:pos="1301" w:val="left" w:leader="none"/>
        </w:tabs>
        <w:spacing w:line="240" w:lineRule="auto" w:before="138" w:after="0"/>
        <w:ind w:left="1301" w:right="0" w:hanging="180"/>
        <w:jc w:val="both"/>
        <w:rPr>
          <w:sz w:val="24"/>
        </w:rPr>
      </w:pPr>
      <w:r>
        <w:rPr>
          <w:sz w:val="24"/>
        </w:rPr>
        <w:t>–  akapit czwarty otrzymuje</w:t>
      </w:r>
      <w:r>
        <w:rPr>
          <w:spacing w:val="-35"/>
          <w:sz w:val="24"/>
        </w:rPr>
        <w:t> </w:t>
      </w:r>
      <w:r>
        <w:rPr>
          <w:sz w:val="24"/>
        </w:rPr>
        <w:t>brzmienie:</w:t>
      </w:r>
    </w:p>
    <w:p>
      <w:pPr>
        <w:pStyle w:val="BodyText"/>
        <w:spacing w:line="360" w:lineRule="auto" w:before="138"/>
        <w:ind w:left="1598" w:right="111"/>
        <w:jc w:val="both"/>
      </w:pPr>
      <w:r>
        <w:rPr/>
        <w:t>„Na drogach klasy A i S pod znakiem D-34b umieszczonym w odległości 2 km przed wjazdem do obiektu umieszcza się tabliczkę z odpowiednim symbolem ze znaków D-23, D-23b albo D-23c, miniaturą znaku E-15 z numerem drogi, napisem określającym odległość do kolejnej stacji paliwowej</w:t>
      </w:r>
      <w:r>
        <w:rPr>
          <w:spacing w:val="-16"/>
        </w:rPr>
        <w:t> </w:t>
      </w:r>
      <w:r>
        <w:rPr/>
        <w:t>lub</w:t>
      </w:r>
      <w:r>
        <w:rPr>
          <w:spacing w:val="-16"/>
        </w:rPr>
        <w:t> </w:t>
      </w:r>
      <w:r>
        <w:rPr/>
        <w:t>punktu</w:t>
      </w:r>
      <w:r>
        <w:rPr>
          <w:spacing w:val="-16"/>
        </w:rPr>
        <w:t> </w:t>
      </w:r>
      <w:r>
        <w:rPr/>
        <w:t>ładowania</w:t>
      </w:r>
      <w:r>
        <w:rPr>
          <w:spacing w:val="-15"/>
        </w:rPr>
        <w:t> </w:t>
      </w:r>
      <w:r>
        <w:rPr/>
        <w:t>pojazdów</w:t>
      </w:r>
      <w:r>
        <w:rPr>
          <w:spacing w:val="-16"/>
        </w:rPr>
        <w:t> </w:t>
      </w:r>
      <w:r>
        <w:rPr/>
        <w:t>elektrycznych</w:t>
      </w:r>
      <w:r>
        <w:rPr>
          <w:spacing w:val="-14"/>
        </w:rPr>
        <w:t> </w:t>
      </w:r>
      <w:r>
        <w:rPr/>
        <w:t>lub</w:t>
      </w:r>
      <w:r>
        <w:rPr>
          <w:spacing w:val="-16"/>
        </w:rPr>
        <w:t> </w:t>
      </w:r>
      <w:r>
        <w:rPr/>
        <w:t>hybrydowych oraz strzałką wskazującą</w:t>
      </w:r>
      <w:r>
        <w:rPr>
          <w:spacing w:val="-4"/>
        </w:rPr>
        <w:t> </w:t>
      </w:r>
      <w:r>
        <w:rPr/>
        <w:t>kierunek.”,</w:t>
      </w:r>
    </w:p>
    <w:p>
      <w:pPr>
        <w:pStyle w:val="ListParagraph"/>
        <w:numPr>
          <w:ilvl w:val="2"/>
          <w:numId w:val="1"/>
        </w:numPr>
        <w:tabs>
          <w:tab w:pos="1301" w:val="left" w:leader="none"/>
        </w:tabs>
        <w:spacing w:line="240" w:lineRule="auto" w:before="5" w:after="0"/>
        <w:ind w:left="1301" w:right="0" w:hanging="180"/>
        <w:jc w:val="both"/>
        <w:rPr>
          <w:sz w:val="24"/>
        </w:rPr>
      </w:pPr>
      <w:r>
        <w:rPr>
          <w:sz w:val="24"/>
        </w:rPr>
        <w:t>–  akapit szósty otrzymuje</w:t>
      </w:r>
      <w:r>
        <w:rPr>
          <w:spacing w:val="-35"/>
          <w:sz w:val="24"/>
        </w:rPr>
        <w:t> </w:t>
      </w:r>
      <w:r>
        <w:rPr>
          <w:sz w:val="24"/>
        </w:rPr>
        <w:t>brzmienie:</w:t>
      </w:r>
    </w:p>
    <w:p>
      <w:pPr>
        <w:pStyle w:val="BodyText"/>
        <w:spacing w:line="360" w:lineRule="auto" w:before="137"/>
        <w:ind w:left="1598" w:right="112"/>
        <w:jc w:val="both"/>
      </w:pPr>
      <w:r>
        <w:rPr/>
        <w:t>„Dopuszcza się również umieszczenie na tabliczce dodatkowej informacji o stacji paliwowej lub punkcie ładowania pojazdów elektrycznych lub hybrydowych,</w:t>
      </w:r>
      <w:r>
        <w:rPr>
          <w:spacing w:val="-15"/>
        </w:rPr>
        <w:t> </w:t>
      </w:r>
      <w:r>
        <w:rPr/>
        <w:t>zlokalizowanych</w:t>
      </w:r>
      <w:r>
        <w:rPr>
          <w:spacing w:val="-12"/>
        </w:rPr>
        <w:t> </w:t>
      </w:r>
      <w:r>
        <w:rPr/>
        <w:t>na</w:t>
      </w:r>
      <w:r>
        <w:rPr>
          <w:spacing w:val="-15"/>
        </w:rPr>
        <w:t> </w:t>
      </w:r>
      <w:r>
        <w:rPr/>
        <w:t>innej</w:t>
      </w:r>
      <w:r>
        <w:rPr>
          <w:spacing w:val="-14"/>
        </w:rPr>
        <w:t> </w:t>
      </w:r>
      <w:r>
        <w:rPr/>
        <w:t>drodze,</w:t>
      </w:r>
      <w:r>
        <w:rPr>
          <w:spacing w:val="-15"/>
        </w:rPr>
        <w:t> </w:t>
      </w:r>
      <w:r>
        <w:rPr/>
        <w:t>w</w:t>
      </w:r>
      <w:r>
        <w:rPr>
          <w:spacing w:val="-15"/>
        </w:rPr>
        <w:t> </w:t>
      </w:r>
      <w:r>
        <w:rPr/>
        <w:t>mniejszej</w:t>
      </w:r>
      <w:r>
        <w:rPr>
          <w:spacing w:val="-13"/>
        </w:rPr>
        <w:t> </w:t>
      </w:r>
      <w:r>
        <w:rPr/>
        <w:t>odległości</w:t>
      </w:r>
      <w:r>
        <w:rPr>
          <w:spacing w:val="-14"/>
        </w:rPr>
        <w:t> </w:t>
      </w:r>
      <w:r>
        <w:rPr/>
        <w:t>niż stacja paliwowa lub punkt ładowania pojazdów elektrycznych lub hybrydowych na drodze, na której znak D-34b jest</w:t>
      </w:r>
      <w:r>
        <w:rPr>
          <w:spacing w:val="-14"/>
        </w:rPr>
        <w:t> </w:t>
      </w:r>
      <w:r>
        <w:rPr/>
        <w:t>umieszczony.”,</w:t>
      </w:r>
    </w:p>
    <w:p>
      <w:pPr>
        <w:pStyle w:val="ListParagraph"/>
        <w:numPr>
          <w:ilvl w:val="0"/>
          <w:numId w:val="2"/>
        </w:numPr>
        <w:tabs>
          <w:tab w:pos="1121" w:val="left" w:leader="none"/>
          <w:tab w:pos="1122" w:val="left" w:leader="none"/>
        </w:tabs>
        <w:spacing w:line="240" w:lineRule="auto" w:before="4" w:after="0"/>
        <w:ind w:left="1122" w:right="0" w:hanging="397"/>
        <w:jc w:val="left"/>
        <w:rPr>
          <w:sz w:val="24"/>
        </w:rPr>
      </w:pPr>
      <w:r>
        <w:rPr>
          <w:sz w:val="24"/>
        </w:rPr>
        <w:t>w pkt 5.2.11 w akapicie drugim zdanie czwarte otrzymuje</w:t>
      </w:r>
      <w:r>
        <w:rPr>
          <w:spacing w:val="-19"/>
          <w:sz w:val="24"/>
        </w:rPr>
        <w:t> </w:t>
      </w:r>
      <w:r>
        <w:rPr>
          <w:sz w:val="24"/>
        </w:rPr>
        <w:t>brzmienie:</w:t>
      </w:r>
    </w:p>
    <w:p>
      <w:pPr>
        <w:pStyle w:val="BodyText"/>
        <w:spacing w:line="360" w:lineRule="auto" w:before="137"/>
        <w:ind w:left="1121" w:right="112"/>
        <w:jc w:val="both"/>
      </w:pPr>
      <w:r>
        <w:rPr/>
        <w:t>„Jeżeli na tym pasie dopuszcza się także ruch innych pojazdów, to na znaku D- 11 pod napisem BUS należy umieścić napis określający rodzaj takich pojazdów np. TAXI, EV, H2 lub symbol roweru.”,</w:t>
      </w:r>
    </w:p>
    <w:p>
      <w:pPr>
        <w:pStyle w:val="ListParagraph"/>
        <w:numPr>
          <w:ilvl w:val="0"/>
          <w:numId w:val="2"/>
        </w:numPr>
        <w:tabs>
          <w:tab w:pos="1121" w:val="left" w:leader="none"/>
          <w:tab w:pos="1122" w:val="left" w:leader="none"/>
        </w:tabs>
        <w:spacing w:line="240" w:lineRule="auto" w:before="4" w:after="0"/>
        <w:ind w:left="1122" w:right="0" w:hanging="397"/>
        <w:jc w:val="left"/>
        <w:rPr>
          <w:sz w:val="24"/>
        </w:rPr>
      </w:pPr>
      <w:r>
        <w:rPr>
          <w:sz w:val="24"/>
        </w:rPr>
        <w:t>w pkt 5.2.24 akapity czwarty i piąty otrzymują</w:t>
      </w:r>
      <w:r>
        <w:rPr>
          <w:spacing w:val="-14"/>
          <w:sz w:val="24"/>
        </w:rPr>
        <w:t> </w:t>
      </w:r>
      <w:r>
        <w:rPr>
          <w:sz w:val="24"/>
        </w:rPr>
        <w:t>brzmienie:</w:t>
      </w:r>
    </w:p>
    <w:p>
      <w:pPr>
        <w:pStyle w:val="BodyText"/>
        <w:spacing w:line="360" w:lineRule="auto" w:before="137"/>
        <w:ind w:left="1121" w:right="112"/>
        <w:jc w:val="both"/>
      </w:pPr>
      <w:r>
        <w:rPr/>
        <w:t>„Znak D-23b „stacja paliwowa z punktem ładowania pojazdów elektrycznych lub hybrydowych” (rys. 5.2.24.3) stosuje się w celu wskazania stacji paliw wyposażonej w punkt ładowania pojazdów elektrycznych lub hybrydowych. Jeżeli stacja paliw prowadzi także sprzedaż paliwa gazowego do napędu pojazdów, dopuszcza się umieszczenie w dolnej części znaku napisu określającego rodzaj tego paliwa: „LPG”, „CNG”, „LNG”, „wodór (H2)”.</w:t>
      </w:r>
    </w:p>
    <w:p>
      <w:pPr>
        <w:spacing w:after="0" w:line="360" w:lineRule="auto"/>
        <w:jc w:val="both"/>
        <w:sectPr>
          <w:pgSz w:w="11910" w:h="16840"/>
          <w:pgMar w:header="719" w:footer="0" w:top="980" w:bottom="280" w:left="1680" w:right="1320"/>
        </w:sectPr>
      </w:pPr>
    </w:p>
    <w:p>
      <w:pPr>
        <w:pStyle w:val="BodyText"/>
        <w:rPr>
          <w:sz w:val="20"/>
        </w:rPr>
      </w:pPr>
    </w:p>
    <w:p>
      <w:pPr>
        <w:pStyle w:val="BodyText"/>
        <w:spacing w:before="2"/>
        <w:rPr>
          <w:sz w:val="22"/>
        </w:rPr>
      </w:pPr>
    </w:p>
    <w:p>
      <w:pPr>
        <w:pStyle w:val="BodyText"/>
        <w:spacing w:line="360" w:lineRule="auto" w:before="90"/>
        <w:ind w:left="1121" w:right="112"/>
        <w:jc w:val="both"/>
      </w:pPr>
      <w:r>
        <w:rPr/>
        <w:t>Znak D-23c „punkt ładowania pojazdów elektrycznych lub  hybrydowych”  (rys. 5.2.24.4) stosuje się w celu wskazania punktu ładowania pojazdów elektrycznych lub</w:t>
      </w:r>
      <w:r>
        <w:rPr>
          <w:spacing w:val="-13"/>
        </w:rPr>
        <w:t> </w:t>
      </w:r>
      <w:r>
        <w:rPr/>
        <w:t>hybrydowych.”,</w:t>
      </w:r>
    </w:p>
    <w:p>
      <w:pPr>
        <w:pStyle w:val="ListParagraph"/>
        <w:numPr>
          <w:ilvl w:val="0"/>
          <w:numId w:val="2"/>
        </w:numPr>
        <w:tabs>
          <w:tab w:pos="1121" w:val="left" w:leader="none"/>
          <w:tab w:pos="1122" w:val="left" w:leader="none"/>
        </w:tabs>
        <w:spacing w:line="240" w:lineRule="auto" w:before="5" w:after="0"/>
        <w:ind w:left="1122" w:right="0" w:hanging="397"/>
        <w:jc w:val="left"/>
        <w:rPr>
          <w:sz w:val="24"/>
        </w:rPr>
      </w:pPr>
      <w:r>
        <w:rPr>
          <w:sz w:val="24"/>
        </w:rPr>
        <w:t>w pkt 5.2.50 dodaje się akapit piąty w</w:t>
      </w:r>
      <w:r>
        <w:rPr>
          <w:spacing w:val="-10"/>
          <w:sz w:val="24"/>
        </w:rPr>
        <w:t> </w:t>
      </w:r>
      <w:r>
        <w:rPr>
          <w:sz w:val="24"/>
        </w:rPr>
        <w:t>brzmieniu:</w:t>
      </w:r>
    </w:p>
    <w:p>
      <w:pPr>
        <w:pStyle w:val="BodyText"/>
        <w:spacing w:line="360" w:lineRule="auto" w:before="138"/>
        <w:ind w:left="1121" w:right="113"/>
        <w:jc w:val="both"/>
      </w:pPr>
      <w:r>
        <w:rPr/>
        <w:t>„Na odcinkach pomiędzy skrzyżowaniami, nie budzących wątpliwości co do miejsca i sposobu parkowania, dopuszcza się stosowanie znaków pionowych określonych w pkt 5.2.18 dla grup miejsc postojowych rozdzielonych, np. pojedynczymi wyspami, zjazdami, wjazdami lub wyjazdami.”,</w:t>
      </w:r>
    </w:p>
    <w:p>
      <w:pPr>
        <w:pStyle w:val="ListParagraph"/>
        <w:numPr>
          <w:ilvl w:val="1"/>
          <w:numId w:val="1"/>
        </w:numPr>
        <w:tabs>
          <w:tab w:pos="723" w:val="left" w:leader="none"/>
          <w:tab w:pos="724" w:val="left" w:leader="none"/>
        </w:tabs>
        <w:spacing w:line="240" w:lineRule="auto" w:before="5" w:after="0"/>
        <w:ind w:left="724" w:right="0" w:hanging="476"/>
        <w:jc w:val="left"/>
        <w:rPr>
          <w:sz w:val="24"/>
        </w:rPr>
      </w:pPr>
      <w:r>
        <w:rPr>
          <w:sz w:val="24"/>
        </w:rPr>
        <w:t>w części 6 „Znaki kierunku i</w:t>
      </w:r>
      <w:r>
        <w:rPr>
          <w:spacing w:val="-9"/>
          <w:sz w:val="24"/>
        </w:rPr>
        <w:t> </w:t>
      </w:r>
      <w:r>
        <w:rPr>
          <w:sz w:val="24"/>
        </w:rPr>
        <w:t>miejscowości”:</w:t>
      </w:r>
    </w:p>
    <w:p>
      <w:pPr>
        <w:pStyle w:val="BodyText"/>
        <w:tabs>
          <w:tab w:pos="1121" w:val="left" w:leader="none"/>
        </w:tabs>
        <w:spacing w:before="138"/>
        <w:ind w:left="725"/>
      </w:pPr>
      <w:r>
        <w:rPr/>
        <w:t>–</w:t>
        <w:tab/>
        <w:t>w pkt</w:t>
      </w:r>
      <w:r>
        <w:rPr>
          <w:spacing w:val="-2"/>
        </w:rPr>
        <w:t> </w:t>
      </w:r>
      <w:r>
        <w:rPr/>
        <w:t>6.1.1:</w:t>
      </w:r>
    </w:p>
    <w:p>
      <w:pPr>
        <w:pStyle w:val="ListParagraph"/>
        <w:numPr>
          <w:ilvl w:val="2"/>
          <w:numId w:val="1"/>
        </w:numPr>
        <w:tabs>
          <w:tab w:pos="1301" w:val="left" w:leader="none"/>
        </w:tabs>
        <w:spacing w:line="240" w:lineRule="auto" w:before="138" w:after="0"/>
        <w:ind w:left="1301" w:right="0" w:hanging="180"/>
        <w:jc w:val="both"/>
        <w:rPr>
          <w:sz w:val="24"/>
        </w:rPr>
      </w:pPr>
      <w:r>
        <w:rPr>
          <w:sz w:val="24"/>
        </w:rPr>
        <w:t>–  w akapicie drugim po lit. g dodaje się lit. ga w</w:t>
      </w:r>
      <w:r>
        <w:rPr>
          <w:spacing w:val="-38"/>
          <w:sz w:val="24"/>
        </w:rPr>
        <w:t> </w:t>
      </w:r>
      <w:r>
        <w:rPr>
          <w:sz w:val="24"/>
        </w:rPr>
        <w:t>brzmieniu:</w:t>
      </w:r>
    </w:p>
    <w:p>
      <w:pPr>
        <w:pStyle w:val="BodyText"/>
        <w:spacing w:before="138"/>
        <w:ind w:left="1518"/>
        <w:jc w:val="both"/>
      </w:pPr>
      <w:r>
        <w:rPr/>
        <w:t>„ga)   znaki z numerem węzła drogowego (znak E-20a),”,</w:t>
      </w:r>
    </w:p>
    <w:p>
      <w:pPr>
        <w:pStyle w:val="ListParagraph"/>
        <w:numPr>
          <w:ilvl w:val="2"/>
          <w:numId w:val="1"/>
        </w:numPr>
        <w:tabs>
          <w:tab w:pos="1301" w:val="left" w:leader="none"/>
        </w:tabs>
        <w:spacing w:line="240" w:lineRule="auto" w:before="138" w:after="0"/>
        <w:ind w:left="1301" w:right="0" w:hanging="180"/>
        <w:jc w:val="both"/>
        <w:rPr>
          <w:sz w:val="24"/>
        </w:rPr>
      </w:pPr>
      <w:r>
        <w:rPr>
          <w:sz w:val="24"/>
        </w:rPr>
        <w:t>–  akapit trzeci otrzymuje</w:t>
      </w:r>
      <w:r>
        <w:rPr>
          <w:spacing w:val="-32"/>
          <w:sz w:val="24"/>
        </w:rPr>
        <w:t> </w:t>
      </w:r>
      <w:r>
        <w:rPr>
          <w:sz w:val="24"/>
        </w:rPr>
        <w:t>brzmienie:</w:t>
      </w:r>
    </w:p>
    <w:p>
      <w:pPr>
        <w:pStyle w:val="BodyText"/>
        <w:spacing w:line="360" w:lineRule="auto" w:before="138"/>
        <w:ind w:left="1518" w:right="112"/>
        <w:jc w:val="both"/>
      </w:pPr>
      <w:r>
        <w:rPr/>
        <w:t>„Znaki  kierunku,  zwłaszcza  tablice  przeddrogowskazowe,  drogowskazy i tablice szlaków drogowych są znakami wymagającymi z zasady indywidualnego zaprojektowania, uwzględniającego zarówno barwę, liczbę wskazywanych kierunków, jak i podawanych dla tych kierunków informacji.”,</w:t>
      </w:r>
    </w:p>
    <w:p>
      <w:pPr>
        <w:pStyle w:val="ListParagraph"/>
        <w:numPr>
          <w:ilvl w:val="2"/>
          <w:numId w:val="1"/>
        </w:numPr>
        <w:tabs>
          <w:tab w:pos="1301" w:val="left" w:leader="none"/>
        </w:tabs>
        <w:spacing w:line="240" w:lineRule="auto" w:before="5" w:after="0"/>
        <w:ind w:left="1301" w:right="0" w:hanging="180"/>
        <w:jc w:val="both"/>
        <w:rPr>
          <w:sz w:val="24"/>
        </w:rPr>
      </w:pPr>
      <w:r>
        <w:rPr>
          <w:sz w:val="24"/>
        </w:rPr>
        <w:t>–  akapit piąty otrzymuje</w:t>
      </w:r>
      <w:r>
        <w:rPr>
          <w:spacing w:val="-30"/>
          <w:sz w:val="24"/>
        </w:rPr>
        <w:t> </w:t>
      </w:r>
      <w:r>
        <w:rPr>
          <w:sz w:val="24"/>
        </w:rPr>
        <w:t>brzmienie:</w:t>
      </w:r>
    </w:p>
    <w:p>
      <w:pPr>
        <w:pStyle w:val="BodyText"/>
        <w:spacing w:line="360" w:lineRule="auto" w:before="137"/>
        <w:ind w:left="1518" w:right="113"/>
        <w:jc w:val="both"/>
      </w:pPr>
      <w:r>
        <w:rPr/>
        <w:t>„Wymiary</w:t>
      </w:r>
      <w:r>
        <w:rPr>
          <w:spacing w:val="-6"/>
        </w:rPr>
        <w:t> </w:t>
      </w:r>
      <w:r>
        <w:rPr/>
        <w:t>liter,</w:t>
      </w:r>
      <w:r>
        <w:rPr>
          <w:spacing w:val="-7"/>
        </w:rPr>
        <w:t> </w:t>
      </w:r>
      <w:r>
        <w:rPr/>
        <w:t>które</w:t>
      </w:r>
      <w:r>
        <w:rPr>
          <w:spacing w:val="-8"/>
        </w:rPr>
        <w:t> </w:t>
      </w:r>
      <w:r>
        <w:rPr/>
        <w:t>powinny</w:t>
      </w:r>
      <w:r>
        <w:rPr>
          <w:spacing w:val="-8"/>
        </w:rPr>
        <w:t> </w:t>
      </w:r>
      <w:r>
        <w:rPr/>
        <w:t>być</w:t>
      </w:r>
      <w:r>
        <w:rPr>
          <w:spacing w:val="-7"/>
        </w:rPr>
        <w:t> </w:t>
      </w:r>
      <w:r>
        <w:rPr/>
        <w:t>stosowane</w:t>
      </w:r>
      <w:r>
        <w:rPr>
          <w:spacing w:val="-7"/>
        </w:rPr>
        <w:t> </w:t>
      </w:r>
      <w:r>
        <w:rPr/>
        <w:t>na</w:t>
      </w:r>
      <w:r>
        <w:rPr>
          <w:spacing w:val="-8"/>
        </w:rPr>
        <w:t> </w:t>
      </w:r>
      <w:r>
        <w:rPr/>
        <w:t>znakach</w:t>
      </w:r>
      <w:r>
        <w:rPr>
          <w:spacing w:val="-6"/>
        </w:rPr>
        <w:t> </w:t>
      </w:r>
      <w:r>
        <w:rPr/>
        <w:t>kierunku,</w:t>
      </w:r>
      <w:r>
        <w:rPr>
          <w:spacing w:val="-8"/>
        </w:rPr>
        <w:t> </w:t>
      </w:r>
      <w:r>
        <w:rPr/>
        <w:t>podano w</w:t>
      </w:r>
      <w:r>
        <w:rPr>
          <w:spacing w:val="-15"/>
        </w:rPr>
        <w:t> </w:t>
      </w:r>
      <w:r>
        <w:rPr/>
        <w:t>tabeli</w:t>
      </w:r>
      <w:r>
        <w:rPr>
          <w:spacing w:val="-14"/>
        </w:rPr>
        <w:t> </w:t>
      </w:r>
      <w:r>
        <w:rPr/>
        <w:t>1.8,</w:t>
      </w:r>
      <w:r>
        <w:rPr>
          <w:spacing w:val="-15"/>
        </w:rPr>
        <w:t> </w:t>
      </w:r>
      <w:r>
        <w:rPr/>
        <w:t>a</w:t>
      </w:r>
      <w:r>
        <w:rPr>
          <w:spacing w:val="-15"/>
        </w:rPr>
        <w:t> </w:t>
      </w:r>
      <w:r>
        <w:rPr/>
        <w:t>grupy</w:t>
      </w:r>
      <w:r>
        <w:rPr>
          <w:spacing w:val="-15"/>
        </w:rPr>
        <w:t> </w:t>
      </w:r>
      <w:r>
        <w:rPr/>
        <w:t>ich</w:t>
      </w:r>
      <w:r>
        <w:rPr>
          <w:spacing w:val="-15"/>
        </w:rPr>
        <w:t> </w:t>
      </w:r>
      <w:r>
        <w:rPr/>
        <w:t>wielkości</w:t>
      </w:r>
      <w:r>
        <w:rPr>
          <w:spacing w:val="-14"/>
        </w:rPr>
        <w:t> </w:t>
      </w:r>
      <w:r>
        <w:rPr/>
        <w:t>w</w:t>
      </w:r>
      <w:r>
        <w:rPr>
          <w:spacing w:val="-15"/>
        </w:rPr>
        <w:t> </w:t>
      </w:r>
      <w:r>
        <w:rPr/>
        <w:t>tabeli</w:t>
      </w:r>
      <w:r>
        <w:rPr>
          <w:spacing w:val="-14"/>
        </w:rPr>
        <w:t> </w:t>
      </w:r>
      <w:r>
        <w:rPr/>
        <w:t>1.9,</w:t>
      </w:r>
      <w:r>
        <w:rPr>
          <w:spacing w:val="-15"/>
        </w:rPr>
        <w:t> </w:t>
      </w:r>
      <w:r>
        <w:rPr/>
        <w:t>z</w:t>
      </w:r>
      <w:r>
        <w:rPr>
          <w:spacing w:val="-15"/>
        </w:rPr>
        <w:t> </w:t>
      </w:r>
      <w:r>
        <w:rPr/>
        <w:t>uwzględnieniem</w:t>
      </w:r>
      <w:r>
        <w:rPr>
          <w:spacing w:val="-13"/>
        </w:rPr>
        <w:t> </w:t>
      </w:r>
      <w:r>
        <w:rPr/>
        <w:t>zastrzeżeń dotyczących napisów na licach znaków kierunku i miejscowości wykonanych  z  folii  odblaskowych  pryzmatycznych  w  grupie </w:t>
      </w:r>
      <w:r>
        <w:rPr>
          <w:spacing w:val="10"/>
        </w:rPr>
        <w:t> </w:t>
      </w:r>
      <w:r>
        <w:rPr/>
        <w:t>wielkości</w:t>
      </w:r>
    </w:p>
    <w:p>
      <w:pPr>
        <w:pStyle w:val="BodyText"/>
        <w:spacing w:line="360" w:lineRule="auto" w:before="4"/>
        <w:ind w:left="1518" w:right="113"/>
        <w:jc w:val="both"/>
      </w:pPr>
      <w:r>
        <w:rPr/>
        <w:t>„wielkie”, a w szczególności tablic E-1a, E-1c, E-2d, E-14, E-20 i E-20a zlokalizowanych na autostradzie lub drodze ekspresowej.”,</w:t>
      </w:r>
    </w:p>
    <w:p>
      <w:pPr>
        <w:pStyle w:val="ListParagraph"/>
        <w:numPr>
          <w:ilvl w:val="0"/>
          <w:numId w:val="2"/>
        </w:numPr>
        <w:tabs>
          <w:tab w:pos="1121" w:val="left" w:leader="none"/>
          <w:tab w:pos="1122" w:val="left" w:leader="none"/>
        </w:tabs>
        <w:spacing w:line="240" w:lineRule="auto" w:before="4" w:after="0"/>
        <w:ind w:left="1122" w:right="0" w:hanging="397"/>
        <w:jc w:val="left"/>
        <w:rPr>
          <w:sz w:val="24"/>
        </w:rPr>
      </w:pPr>
      <w:r>
        <w:rPr>
          <w:sz w:val="24"/>
        </w:rPr>
        <w:t>w pkt 6.2 dodaje się akapit dziewiąty w</w:t>
      </w:r>
      <w:r>
        <w:rPr>
          <w:spacing w:val="-8"/>
          <w:sz w:val="24"/>
        </w:rPr>
        <w:t> </w:t>
      </w:r>
      <w:r>
        <w:rPr>
          <w:sz w:val="24"/>
        </w:rPr>
        <w:t>brzmieniu:</w:t>
      </w:r>
    </w:p>
    <w:p>
      <w:pPr>
        <w:pStyle w:val="BodyText"/>
        <w:spacing w:line="360" w:lineRule="auto" w:before="137"/>
        <w:ind w:left="1121" w:right="112"/>
        <w:jc w:val="both"/>
      </w:pPr>
      <w:r>
        <w:rPr/>
        <w:t>„Dopuszcza się inne zasady doboru miejscowości kierunkowych na obwodnicach miast w ciągach autostrad i dróg ekspresowych, tworzących kompleksowy układ drogowy, dający się wyodrębnić z sieci drogowej.”,</w:t>
      </w:r>
    </w:p>
    <w:p>
      <w:pPr>
        <w:pStyle w:val="BodyText"/>
        <w:tabs>
          <w:tab w:pos="1121" w:val="left" w:leader="none"/>
        </w:tabs>
        <w:spacing w:before="5"/>
        <w:ind w:left="725"/>
      </w:pPr>
      <w:r>
        <w:rPr/>
        <w:t>–</w:t>
        <w:tab/>
        <w:t>w pkt</w:t>
      </w:r>
      <w:r>
        <w:rPr>
          <w:spacing w:val="-2"/>
        </w:rPr>
        <w:t> </w:t>
      </w:r>
      <w:r>
        <w:rPr/>
        <w:t>6.3.1.1:</w:t>
      </w:r>
    </w:p>
    <w:p>
      <w:pPr>
        <w:pStyle w:val="ListParagraph"/>
        <w:numPr>
          <w:ilvl w:val="1"/>
          <w:numId w:val="2"/>
        </w:numPr>
        <w:tabs>
          <w:tab w:pos="1301" w:val="left" w:leader="none"/>
        </w:tabs>
        <w:spacing w:line="240" w:lineRule="auto" w:before="138" w:after="0"/>
        <w:ind w:left="1301" w:right="0" w:hanging="180"/>
        <w:jc w:val="both"/>
        <w:rPr>
          <w:sz w:val="24"/>
        </w:rPr>
      </w:pPr>
      <w:r>
        <w:rPr>
          <w:sz w:val="24"/>
        </w:rPr>
        <w:t>–  akapit czwarty otrzymuje</w:t>
      </w:r>
      <w:r>
        <w:rPr>
          <w:spacing w:val="-35"/>
          <w:sz w:val="24"/>
        </w:rPr>
        <w:t> </w:t>
      </w:r>
      <w:r>
        <w:rPr>
          <w:sz w:val="24"/>
        </w:rPr>
        <w:t>brzmienie:</w:t>
      </w:r>
    </w:p>
    <w:p>
      <w:pPr>
        <w:pStyle w:val="BodyText"/>
        <w:spacing w:before="138"/>
        <w:ind w:left="1518"/>
        <w:jc w:val="both"/>
      </w:pPr>
      <w:r>
        <w:rPr/>
        <w:t>„Tablice przeddrogowskazowe, w zależności od ich zastosowania na drodze,</w:t>
      </w:r>
    </w:p>
    <w:p>
      <w:pPr>
        <w:pStyle w:val="BodyText"/>
        <w:spacing w:before="138"/>
        <w:ind w:left="1517"/>
        <w:jc w:val="both"/>
      </w:pPr>
      <w:r>
        <w:rPr/>
        <w:t>dzielą się na:</w:t>
      </w:r>
    </w:p>
    <w:p>
      <w:pPr>
        <w:spacing w:after="0"/>
        <w:jc w:val="both"/>
        <w:sectPr>
          <w:pgSz w:w="11910" w:h="16840"/>
          <w:pgMar w:header="719" w:footer="0" w:top="980" w:bottom="280" w:left="1680" w:right="1320"/>
        </w:sectPr>
      </w:pPr>
    </w:p>
    <w:p>
      <w:pPr>
        <w:pStyle w:val="BodyText"/>
        <w:rPr>
          <w:sz w:val="20"/>
        </w:rPr>
      </w:pPr>
    </w:p>
    <w:p>
      <w:pPr>
        <w:pStyle w:val="BodyText"/>
        <w:spacing w:before="2"/>
        <w:rPr>
          <w:sz w:val="22"/>
        </w:rPr>
      </w:pPr>
    </w:p>
    <w:p>
      <w:pPr>
        <w:pStyle w:val="ListParagraph"/>
        <w:numPr>
          <w:ilvl w:val="2"/>
          <w:numId w:val="2"/>
        </w:numPr>
        <w:tabs>
          <w:tab w:pos="1914" w:val="left" w:leader="none"/>
          <w:tab w:pos="1915" w:val="left" w:leader="none"/>
        </w:tabs>
        <w:spacing w:line="360" w:lineRule="auto" w:before="90" w:after="0"/>
        <w:ind w:left="1915" w:right="112" w:hanging="397"/>
        <w:jc w:val="left"/>
        <w:rPr>
          <w:sz w:val="24"/>
        </w:rPr>
      </w:pPr>
      <w:r>
        <w:rPr>
          <w:sz w:val="24"/>
        </w:rPr>
        <w:t>tablice E-1 umieszczane na drogach innych niż autostrady i drogi ekspresowe,</w:t>
      </w:r>
    </w:p>
    <w:p>
      <w:pPr>
        <w:pStyle w:val="ListParagraph"/>
        <w:numPr>
          <w:ilvl w:val="2"/>
          <w:numId w:val="2"/>
        </w:numPr>
        <w:tabs>
          <w:tab w:pos="1915" w:val="left" w:leader="none"/>
        </w:tabs>
        <w:spacing w:line="240" w:lineRule="auto" w:before="5" w:after="0"/>
        <w:ind w:left="1915" w:right="0" w:hanging="397"/>
        <w:jc w:val="both"/>
        <w:rPr>
          <w:sz w:val="24"/>
        </w:rPr>
      </w:pPr>
      <w:r>
        <w:rPr>
          <w:sz w:val="24"/>
        </w:rPr>
        <w:t>tablice E-1a umieszczane na</w:t>
      </w:r>
      <w:r>
        <w:rPr>
          <w:spacing w:val="-22"/>
          <w:sz w:val="24"/>
        </w:rPr>
        <w:t> </w:t>
      </w:r>
      <w:r>
        <w:rPr>
          <w:sz w:val="24"/>
        </w:rPr>
        <w:t>autostradach,</w:t>
      </w:r>
    </w:p>
    <w:p>
      <w:pPr>
        <w:pStyle w:val="ListParagraph"/>
        <w:numPr>
          <w:ilvl w:val="2"/>
          <w:numId w:val="2"/>
        </w:numPr>
        <w:tabs>
          <w:tab w:pos="1915" w:val="left" w:leader="none"/>
        </w:tabs>
        <w:spacing w:line="240" w:lineRule="auto" w:before="138" w:after="0"/>
        <w:ind w:left="1915" w:right="0" w:hanging="397"/>
        <w:jc w:val="both"/>
        <w:rPr>
          <w:sz w:val="24"/>
        </w:rPr>
      </w:pPr>
      <w:r>
        <w:rPr>
          <w:sz w:val="24"/>
        </w:rPr>
        <w:t>tablice E-1c umieszczane na drogach</w:t>
      </w:r>
      <w:r>
        <w:rPr>
          <w:spacing w:val="-24"/>
          <w:sz w:val="24"/>
        </w:rPr>
        <w:t> </w:t>
      </w:r>
      <w:r>
        <w:rPr>
          <w:sz w:val="24"/>
        </w:rPr>
        <w:t>ekspresowych.”,</w:t>
      </w:r>
    </w:p>
    <w:p>
      <w:pPr>
        <w:pStyle w:val="ListParagraph"/>
        <w:numPr>
          <w:ilvl w:val="1"/>
          <w:numId w:val="2"/>
        </w:numPr>
        <w:tabs>
          <w:tab w:pos="1301" w:val="left" w:leader="none"/>
        </w:tabs>
        <w:spacing w:line="240" w:lineRule="auto" w:before="138" w:after="0"/>
        <w:ind w:left="1301" w:right="0" w:hanging="180"/>
        <w:jc w:val="left"/>
        <w:rPr>
          <w:sz w:val="24"/>
        </w:rPr>
      </w:pPr>
      <w:r>
        <w:rPr>
          <w:sz w:val="24"/>
        </w:rPr>
        <w:t>–  dodaje się akapity czternasty i piętnasty w</w:t>
      </w:r>
      <w:r>
        <w:rPr>
          <w:spacing w:val="17"/>
          <w:sz w:val="24"/>
        </w:rPr>
        <w:t> </w:t>
      </w:r>
      <w:r>
        <w:rPr>
          <w:sz w:val="24"/>
        </w:rPr>
        <w:t>brzmieniu:</w:t>
      </w:r>
    </w:p>
    <w:p>
      <w:pPr>
        <w:pStyle w:val="BodyText"/>
        <w:spacing w:line="360" w:lineRule="auto" w:before="138"/>
        <w:ind w:left="1518" w:right="113"/>
      </w:pPr>
      <w:r>
        <w:rPr/>
        <w:t>„Tablice</w:t>
      </w:r>
      <w:r>
        <w:rPr>
          <w:spacing w:val="-16"/>
        </w:rPr>
        <w:t> </w:t>
      </w:r>
      <w:r>
        <w:rPr/>
        <w:t>przeddrogowskazowe</w:t>
      </w:r>
      <w:r>
        <w:rPr>
          <w:spacing w:val="-18"/>
        </w:rPr>
        <w:t> </w:t>
      </w:r>
      <w:r>
        <w:rPr/>
        <w:t>E-1a</w:t>
      </w:r>
      <w:r>
        <w:rPr>
          <w:spacing w:val="-17"/>
        </w:rPr>
        <w:t> </w:t>
      </w:r>
      <w:r>
        <w:rPr/>
        <w:t>i</w:t>
      </w:r>
      <w:r>
        <w:rPr>
          <w:spacing w:val="-18"/>
        </w:rPr>
        <w:t> </w:t>
      </w:r>
      <w:r>
        <w:rPr/>
        <w:t>E-1c</w:t>
      </w:r>
      <w:r>
        <w:rPr>
          <w:spacing w:val="-17"/>
        </w:rPr>
        <w:t> </w:t>
      </w:r>
      <w:r>
        <w:rPr/>
        <w:t>umieszcza</w:t>
      </w:r>
      <w:r>
        <w:rPr>
          <w:spacing w:val="-18"/>
        </w:rPr>
        <w:t> </w:t>
      </w:r>
      <w:r>
        <w:rPr/>
        <w:t>się</w:t>
      </w:r>
      <w:r>
        <w:rPr>
          <w:spacing w:val="-17"/>
        </w:rPr>
        <w:t> </w:t>
      </w:r>
      <w:r>
        <w:rPr/>
        <w:t>łącznie</w:t>
      </w:r>
      <w:r>
        <w:rPr>
          <w:spacing w:val="-17"/>
        </w:rPr>
        <w:t> </w:t>
      </w:r>
      <w:r>
        <w:rPr/>
        <w:t>ze</w:t>
      </w:r>
      <w:r>
        <w:rPr>
          <w:spacing w:val="-18"/>
        </w:rPr>
        <w:t> </w:t>
      </w:r>
      <w:r>
        <w:rPr/>
        <w:t>znakiem E-20a.</w:t>
      </w:r>
    </w:p>
    <w:p>
      <w:pPr>
        <w:pStyle w:val="BodyText"/>
        <w:spacing w:line="360" w:lineRule="auto" w:before="5"/>
        <w:ind w:left="1518" w:right="112"/>
        <w:jc w:val="both"/>
      </w:pPr>
      <w:r>
        <w:rPr/>
        <w:t>Tablice  przeddrogowskazowe   E-1   i   E-1c   mają   tło   barwy   zielonej z wyjątkiem tych części, które oznaczają kierunki lub miejscowości na dojeździe do autostrady – mających tło barwy niebieskiej, lub które oznaczają informacje lokalne – mających tło barwy białej. Tablica przeddrogowskazowa E-1a ma tło barwy niebieskiej z wyjątkiem tych części, które oznaczają kierunki lub miejscowości na dojeździe do dróg innych niż autostrada – mających tło barwy zielonej, lub które oznaczają informacje lokalne – mających tło barwy</w:t>
      </w:r>
      <w:r>
        <w:rPr>
          <w:spacing w:val="-15"/>
        </w:rPr>
        <w:t> </w:t>
      </w:r>
      <w:r>
        <w:rPr/>
        <w:t>białej.”,</w:t>
      </w:r>
    </w:p>
    <w:p>
      <w:pPr>
        <w:pStyle w:val="ListParagraph"/>
        <w:numPr>
          <w:ilvl w:val="1"/>
          <w:numId w:val="2"/>
        </w:numPr>
        <w:tabs>
          <w:tab w:pos="1301" w:val="left" w:leader="none"/>
        </w:tabs>
        <w:spacing w:line="240" w:lineRule="auto" w:before="5" w:after="0"/>
        <w:ind w:left="1301" w:right="0" w:hanging="180"/>
        <w:jc w:val="left"/>
        <w:rPr>
          <w:sz w:val="24"/>
        </w:rPr>
      </w:pPr>
      <w:r>
        <w:rPr>
          <w:sz w:val="24"/>
        </w:rPr>
        <w:t>–  skreśla się rysunek</w:t>
      </w:r>
      <w:r>
        <w:rPr>
          <w:spacing w:val="-26"/>
          <w:sz w:val="24"/>
        </w:rPr>
        <w:t> </w:t>
      </w:r>
      <w:r>
        <w:rPr>
          <w:sz w:val="24"/>
        </w:rPr>
        <w:t>6.3.1.7,</w:t>
      </w:r>
    </w:p>
    <w:p>
      <w:pPr>
        <w:pStyle w:val="ListParagraph"/>
        <w:numPr>
          <w:ilvl w:val="1"/>
          <w:numId w:val="2"/>
        </w:numPr>
        <w:tabs>
          <w:tab w:pos="1301" w:val="left" w:leader="none"/>
        </w:tabs>
        <w:spacing w:line="240" w:lineRule="auto" w:before="138" w:after="0"/>
        <w:ind w:left="1301" w:right="0" w:hanging="180"/>
        <w:jc w:val="left"/>
        <w:rPr>
          <w:sz w:val="24"/>
        </w:rPr>
      </w:pPr>
      <w:r>
        <w:rPr/>
        <w:drawing>
          <wp:anchor distT="0" distB="0" distL="0" distR="0" allowOverlap="1" layoutInCell="1" locked="0" behindDoc="1" simplePos="0" relativeHeight="268415447">
            <wp:simplePos x="0" y="0"/>
            <wp:positionH relativeFrom="page">
              <wp:posOffset>2098370</wp:posOffset>
            </wp:positionH>
            <wp:positionV relativeFrom="paragraph">
              <wp:posOffset>350496</wp:posOffset>
            </wp:positionV>
            <wp:extent cx="2520000" cy="1797298"/>
            <wp:effectExtent l="0" t="0" r="0" b="0"/>
            <wp:wrapNone/>
            <wp:docPr id="1" name="image1.png" descr=""/>
            <wp:cNvGraphicFramePr>
              <a:graphicFrameLocks noChangeAspect="1"/>
            </wp:cNvGraphicFramePr>
            <a:graphic>
              <a:graphicData uri="http://schemas.openxmlformats.org/drawingml/2006/picture">
                <pic:pic>
                  <pic:nvPicPr>
                    <pic:cNvPr id="2" name="image1.png"/>
                    <pic:cNvPicPr/>
                  </pic:nvPicPr>
                  <pic:blipFill>
                    <a:blip r:embed="rId6" cstate="print"/>
                    <a:stretch>
                      <a:fillRect/>
                    </a:stretch>
                  </pic:blipFill>
                  <pic:spPr>
                    <a:xfrm>
                      <a:off x="0" y="0"/>
                      <a:ext cx="2520000" cy="1797298"/>
                    </a:xfrm>
                    <a:prstGeom prst="rect">
                      <a:avLst/>
                    </a:prstGeom>
                  </pic:spPr>
                </pic:pic>
              </a:graphicData>
            </a:graphic>
          </wp:anchor>
        </w:drawing>
      </w:r>
      <w:r>
        <w:rPr>
          <w:sz w:val="24"/>
        </w:rPr>
        <w:t>– rysunki 6.3.1.8 i 6.3.1.9 otrzymują</w:t>
      </w:r>
      <w:r>
        <w:rPr>
          <w:spacing w:val="-2"/>
          <w:sz w:val="24"/>
        </w:rPr>
        <w:t> </w:t>
      </w:r>
      <w:r>
        <w:rPr>
          <w:sz w:val="24"/>
        </w:rPr>
        <w:t>brzmienie:</w:t>
      </w: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spacing w:before="7"/>
        <w:rPr>
          <w:sz w:val="30"/>
        </w:rPr>
      </w:pPr>
    </w:p>
    <w:p>
      <w:pPr>
        <w:pStyle w:val="BodyText"/>
        <w:ind w:left="1518"/>
        <w:jc w:val="both"/>
      </w:pPr>
      <w:r>
        <w:rPr/>
        <w:t>„</w:t>
      </w:r>
    </w:p>
    <w:p>
      <w:pPr>
        <w:pStyle w:val="BodyText"/>
        <w:spacing w:before="137"/>
        <w:ind w:left="1518"/>
        <w:jc w:val="both"/>
      </w:pPr>
      <w:r>
        <w:rPr/>
        <w:t>Rys. 6.3.1.8. Tablica E-1a I ze znakiem E-20a na autostradzie przed węzłem</w:t>
      </w:r>
    </w:p>
    <w:p>
      <w:pPr>
        <w:pStyle w:val="BodyText"/>
        <w:spacing w:before="137"/>
        <w:ind w:left="1518"/>
        <w:jc w:val="both"/>
      </w:pPr>
      <w:r>
        <w:rPr/>
        <w:t>z drogą krajową</w:t>
      </w:r>
    </w:p>
    <w:p>
      <w:pPr>
        <w:spacing w:after="0"/>
        <w:jc w:val="both"/>
        <w:sectPr>
          <w:pgSz w:w="11910" w:h="16840"/>
          <w:pgMar w:header="719" w:footer="0" w:top="980" w:bottom="280" w:left="1680" w:right="1320"/>
        </w:sectPr>
      </w:pPr>
    </w:p>
    <w:p>
      <w:pPr>
        <w:pStyle w:val="BodyText"/>
        <w:rPr>
          <w:sz w:val="20"/>
        </w:rPr>
      </w:pPr>
    </w:p>
    <w:p>
      <w:pPr>
        <w:pStyle w:val="BodyText"/>
        <w:rPr>
          <w:sz w:val="20"/>
        </w:rPr>
      </w:pPr>
    </w:p>
    <w:p>
      <w:pPr>
        <w:pStyle w:val="BodyText"/>
        <w:rPr>
          <w:sz w:val="10"/>
        </w:rPr>
      </w:pPr>
    </w:p>
    <w:p>
      <w:pPr>
        <w:pStyle w:val="BodyText"/>
        <w:ind w:left="1518"/>
        <w:rPr>
          <w:sz w:val="20"/>
        </w:rPr>
      </w:pPr>
      <w:r>
        <w:rPr>
          <w:sz w:val="20"/>
        </w:rPr>
        <w:drawing>
          <wp:inline distT="0" distB="0" distL="0" distR="0">
            <wp:extent cx="3623141" cy="1953005"/>
            <wp:effectExtent l="0" t="0" r="0" b="0"/>
            <wp:docPr id="3" name="image2.png" descr=""/>
            <wp:cNvGraphicFramePr>
              <a:graphicFrameLocks noChangeAspect="1"/>
            </wp:cNvGraphicFramePr>
            <a:graphic>
              <a:graphicData uri="http://schemas.openxmlformats.org/drawingml/2006/picture">
                <pic:pic>
                  <pic:nvPicPr>
                    <pic:cNvPr id="4" name="image2.png"/>
                    <pic:cNvPicPr/>
                  </pic:nvPicPr>
                  <pic:blipFill>
                    <a:blip r:embed="rId7" cstate="print"/>
                    <a:stretch>
                      <a:fillRect/>
                    </a:stretch>
                  </pic:blipFill>
                  <pic:spPr>
                    <a:xfrm>
                      <a:off x="0" y="0"/>
                      <a:ext cx="3623141" cy="1953005"/>
                    </a:xfrm>
                    <a:prstGeom prst="rect">
                      <a:avLst/>
                    </a:prstGeom>
                  </pic:spPr>
                </pic:pic>
              </a:graphicData>
            </a:graphic>
          </wp:inline>
        </w:drawing>
      </w:r>
      <w:r>
        <w:rPr>
          <w:sz w:val="20"/>
        </w:rPr>
      </w:r>
    </w:p>
    <w:p>
      <w:pPr>
        <w:pStyle w:val="BodyText"/>
        <w:spacing w:before="123"/>
        <w:ind w:left="1518"/>
      </w:pPr>
      <w:r>
        <w:rPr/>
        <w:t>Rys.</w:t>
      </w:r>
      <w:r>
        <w:rPr>
          <w:spacing w:val="-16"/>
        </w:rPr>
        <w:t> </w:t>
      </w:r>
      <w:r>
        <w:rPr/>
        <w:t>6.3.1.9.</w:t>
      </w:r>
      <w:r>
        <w:rPr>
          <w:spacing w:val="-17"/>
        </w:rPr>
        <w:t> </w:t>
      </w:r>
      <w:r>
        <w:rPr/>
        <w:t>Tablica</w:t>
      </w:r>
      <w:r>
        <w:rPr>
          <w:spacing w:val="-16"/>
        </w:rPr>
        <w:t> </w:t>
      </w:r>
      <w:r>
        <w:rPr/>
        <w:t>E-1a</w:t>
      </w:r>
      <w:r>
        <w:rPr>
          <w:spacing w:val="-16"/>
        </w:rPr>
        <w:t> </w:t>
      </w:r>
      <w:r>
        <w:rPr/>
        <w:t>II</w:t>
      </w:r>
      <w:r>
        <w:rPr>
          <w:spacing w:val="-17"/>
        </w:rPr>
        <w:t> </w:t>
      </w:r>
      <w:r>
        <w:rPr/>
        <w:t>ze</w:t>
      </w:r>
      <w:r>
        <w:rPr>
          <w:spacing w:val="-17"/>
        </w:rPr>
        <w:t> </w:t>
      </w:r>
      <w:r>
        <w:rPr/>
        <w:t>znakiem</w:t>
      </w:r>
      <w:r>
        <w:rPr>
          <w:spacing w:val="-16"/>
        </w:rPr>
        <w:t> </w:t>
      </w:r>
      <w:r>
        <w:rPr/>
        <w:t>E-20a</w:t>
      </w:r>
      <w:r>
        <w:rPr>
          <w:spacing w:val="-16"/>
        </w:rPr>
        <w:t> </w:t>
      </w:r>
      <w:r>
        <w:rPr/>
        <w:t>na</w:t>
      </w:r>
      <w:r>
        <w:rPr>
          <w:spacing w:val="-17"/>
        </w:rPr>
        <w:t> </w:t>
      </w:r>
      <w:r>
        <w:rPr/>
        <w:t>autostradzie</w:t>
      </w:r>
      <w:r>
        <w:rPr>
          <w:spacing w:val="-15"/>
        </w:rPr>
        <w:t> </w:t>
      </w:r>
      <w:r>
        <w:rPr/>
        <w:t>przed</w:t>
      </w:r>
      <w:r>
        <w:rPr>
          <w:spacing w:val="-17"/>
        </w:rPr>
        <w:t> </w:t>
      </w:r>
      <w:r>
        <w:rPr/>
        <w:t>węzłem</w:t>
      </w:r>
    </w:p>
    <w:p>
      <w:pPr>
        <w:pStyle w:val="BodyText"/>
        <w:spacing w:before="138"/>
        <w:ind w:left="1518"/>
      </w:pPr>
      <w:r>
        <w:rPr/>
        <w:t>z drogą wojewódzką”,</w:t>
      </w:r>
    </w:p>
    <w:p>
      <w:pPr>
        <w:pStyle w:val="ListParagraph"/>
        <w:numPr>
          <w:ilvl w:val="1"/>
          <w:numId w:val="2"/>
        </w:numPr>
        <w:tabs>
          <w:tab w:pos="1301" w:val="left" w:leader="none"/>
        </w:tabs>
        <w:spacing w:line="240" w:lineRule="auto" w:before="138" w:after="0"/>
        <w:ind w:left="1301" w:right="0" w:hanging="180"/>
        <w:jc w:val="left"/>
        <w:rPr>
          <w:sz w:val="24"/>
        </w:rPr>
      </w:pPr>
      <w:r>
        <w:rPr/>
        <w:drawing>
          <wp:anchor distT="0" distB="0" distL="0" distR="0" allowOverlap="1" layoutInCell="1" locked="0" behindDoc="1" simplePos="0" relativeHeight="268415471">
            <wp:simplePos x="0" y="0"/>
            <wp:positionH relativeFrom="page">
              <wp:posOffset>2098370</wp:posOffset>
            </wp:positionH>
            <wp:positionV relativeFrom="paragraph">
              <wp:posOffset>350495</wp:posOffset>
            </wp:positionV>
            <wp:extent cx="2520000" cy="1872919"/>
            <wp:effectExtent l="0" t="0" r="0" b="0"/>
            <wp:wrapNone/>
            <wp:docPr id="5" name="image3.png" descr=""/>
            <wp:cNvGraphicFramePr>
              <a:graphicFrameLocks noChangeAspect="1"/>
            </wp:cNvGraphicFramePr>
            <a:graphic>
              <a:graphicData uri="http://schemas.openxmlformats.org/drawingml/2006/picture">
                <pic:pic>
                  <pic:nvPicPr>
                    <pic:cNvPr id="6" name="image3.png"/>
                    <pic:cNvPicPr/>
                  </pic:nvPicPr>
                  <pic:blipFill>
                    <a:blip r:embed="rId8" cstate="print"/>
                    <a:stretch>
                      <a:fillRect/>
                    </a:stretch>
                  </pic:blipFill>
                  <pic:spPr>
                    <a:xfrm>
                      <a:off x="0" y="0"/>
                      <a:ext cx="2520000" cy="1872919"/>
                    </a:xfrm>
                    <a:prstGeom prst="rect">
                      <a:avLst/>
                    </a:prstGeom>
                  </pic:spPr>
                </pic:pic>
              </a:graphicData>
            </a:graphic>
          </wp:anchor>
        </w:drawing>
      </w:r>
      <w:r>
        <w:rPr>
          <w:sz w:val="24"/>
        </w:rPr>
        <w:t>–   po rysunku 6.3.1.9 dodaje się rysunek 6.3.1.9a w</w:t>
      </w:r>
      <w:r>
        <w:rPr>
          <w:spacing w:val="-26"/>
          <w:sz w:val="24"/>
        </w:rPr>
        <w:t> </w:t>
      </w:r>
      <w:r>
        <w:rPr>
          <w:sz w:val="24"/>
        </w:rPr>
        <w:t>brzmieniu:</w:t>
      </w: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spacing w:before="172"/>
        <w:ind w:left="1518"/>
      </w:pPr>
      <w:r>
        <w:rPr/>
        <w:t>„</w:t>
      </w:r>
    </w:p>
    <w:p>
      <w:pPr>
        <w:pStyle w:val="BodyText"/>
        <w:spacing w:before="137"/>
        <w:ind w:left="1518"/>
      </w:pPr>
      <w:r>
        <w:rPr/>
        <w:t>Rys. 6.3.1.9a. Tablica E-1c ze znakiem E-20a na drodze ekspresowej przed</w:t>
      </w:r>
    </w:p>
    <w:p>
      <w:pPr>
        <w:pStyle w:val="BodyText"/>
        <w:spacing w:before="137"/>
        <w:ind w:left="1518"/>
      </w:pPr>
      <w:r>
        <w:rPr/>
        <w:t>węzłem z drogą wojewódzką”,</w:t>
      </w:r>
    </w:p>
    <w:p>
      <w:pPr>
        <w:pStyle w:val="ListParagraph"/>
        <w:numPr>
          <w:ilvl w:val="1"/>
          <w:numId w:val="2"/>
        </w:numPr>
        <w:tabs>
          <w:tab w:pos="1301" w:val="left" w:leader="none"/>
        </w:tabs>
        <w:spacing w:line="240" w:lineRule="auto" w:before="137" w:after="0"/>
        <w:ind w:left="1301" w:right="0" w:hanging="180"/>
        <w:jc w:val="left"/>
        <w:rPr>
          <w:sz w:val="24"/>
        </w:rPr>
      </w:pPr>
      <w:r>
        <w:rPr>
          <w:sz w:val="24"/>
        </w:rPr>
        <w:t>–  podpis pod rysunkiem 6.3.1.10 otrzymuje</w:t>
      </w:r>
      <w:r>
        <w:rPr>
          <w:spacing w:val="-24"/>
          <w:sz w:val="24"/>
        </w:rPr>
        <w:t> </w:t>
      </w:r>
      <w:r>
        <w:rPr>
          <w:sz w:val="24"/>
        </w:rPr>
        <w:t>brzmienie:</w:t>
      </w:r>
    </w:p>
    <w:p>
      <w:pPr>
        <w:pStyle w:val="BodyText"/>
        <w:spacing w:before="137"/>
        <w:ind w:left="1518"/>
      </w:pPr>
      <w:r>
        <w:rPr/>
        <w:t>„Tablica E-1 na drodze krajowej przed wjazdami na autostradę”,</w:t>
      </w:r>
    </w:p>
    <w:p>
      <w:pPr>
        <w:pStyle w:val="ListParagraph"/>
        <w:numPr>
          <w:ilvl w:val="1"/>
          <w:numId w:val="2"/>
        </w:numPr>
        <w:tabs>
          <w:tab w:pos="1301" w:val="left" w:leader="none"/>
        </w:tabs>
        <w:spacing w:line="240" w:lineRule="auto" w:before="137" w:after="0"/>
        <w:ind w:left="1301" w:right="0" w:hanging="180"/>
        <w:jc w:val="left"/>
        <w:rPr>
          <w:sz w:val="24"/>
        </w:rPr>
      </w:pPr>
      <w:r>
        <w:rPr>
          <w:sz w:val="24"/>
        </w:rPr>
        <w:t>–  skreśla się rysunek</w:t>
      </w:r>
      <w:r>
        <w:rPr>
          <w:spacing w:val="-26"/>
          <w:sz w:val="24"/>
        </w:rPr>
        <w:t> </w:t>
      </w:r>
      <w:r>
        <w:rPr>
          <w:sz w:val="24"/>
        </w:rPr>
        <w:t>6.3.1.11,</w:t>
      </w:r>
    </w:p>
    <w:p>
      <w:pPr>
        <w:pStyle w:val="BodyText"/>
        <w:tabs>
          <w:tab w:pos="396" w:val="left" w:leader="none"/>
        </w:tabs>
        <w:spacing w:before="137"/>
        <w:ind w:right="5730"/>
        <w:jc w:val="center"/>
      </w:pPr>
      <w:r>
        <w:rPr/>
        <w:t>–</w:t>
        <w:tab/>
        <w:t>w pkt</w:t>
      </w:r>
      <w:r>
        <w:rPr>
          <w:spacing w:val="-2"/>
        </w:rPr>
        <w:t> </w:t>
      </w:r>
      <w:r>
        <w:rPr/>
        <w:t>6.3.1.4:</w:t>
      </w:r>
    </w:p>
    <w:p>
      <w:pPr>
        <w:pStyle w:val="ListParagraph"/>
        <w:numPr>
          <w:ilvl w:val="1"/>
          <w:numId w:val="2"/>
        </w:numPr>
        <w:tabs>
          <w:tab w:pos="1301" w:val="left" w:leader="none"/>
        </w:tabs>
        <w:spacing w:line="240" w:lineRule="auto" w:before="137" w:after="0"/>
        <w:ind w:left="1301" w:right="0" w:hanging="180"/>
        <w:jc w:val="left"/>
        <w:rPr>
          <w:sz w:val="24"/>
        </w:rPr>
      </w:pPr>
      <w:r>
        <w:rPr>
          <w:sz w:val="24"/>
        </w:rPr>
        <w:t>–  akapit piąty otrzymuje</w:t>
      </w:r>
      <w:r>
        <w:rPr>
          <w:spacing w:val="-30"/>
          <w:sz w:val="24"/>
        </w:rPr>
        <w:t> </w:t>
      </w:r>
      <w:r>
        <w:rPr>
          <w:sz w:val="24"/>
        </w:rPr>
        <w:t>brzmienie:</w:t>
      </w:r>
    </w:p>
    <w:p>
      <w:pPr>
        <w:pStyle w:val="BodyText"/>
        <w:tabs>
          <w:tab w:pos="2807" w:val="left" w:leader="none"/>
          <w:tab w:pos="3710" w:val="left" w:leader="none"/>
          <w:tab w:pos="6119" w:val="left" w:leader="none"/>
          <w:tab w:pos="7662" w:val="left" w:leader="none"/>
          <w:tab w:pos="8138" w:val="left" w:leader="none"/>
        </w:tabs>
        <w:spacing w:line="360" w:lineRule="auto" w:before="137"/>
        <w:ind w:left="1598" w:right="112"/>
      </w:pPr>
      <w:r>
        <w:rPr/>
        <w:t>„Przykład</w:t>
        <w:tab/>
        <w:t>tablicy</w:t>
        <w:tab/>
        <w:t>przeddrogowskazowej</w:t>
        <w:tab/>
        <w:t>umieszczanej</w:t>
        <w:tab/>
        <w:t>na</w:t>
        <w:tab/>
        <w:t>drodze ekspresowej podano na rysunku</w:t>
      </w:r>
      <w:r>
        <w:rPr>
          <w:spacing w:val="-12"/>
        </w:rPr>
        <w:t> </w:t>
      </w:r>
      <w:r>
        <w:rPr/>
        <w:t>6.3.1.9a.”,</w:t>
      </w:r>
    </w:p>
    <w:p>
      <w:pPr>
        <w:pStyle w:val="ListParagraph"/>
        <w:numPr>
          <w:ilvl w:val="1"/>
          <w:numId w:val="2"/>
        </w:numPr>
        <w:tabs>
          <w:tab w:pos="1301" w:val="left" w:leader="none"/>
        </w:tabs>
        <w:spacing w:line="240" w:lineRule="auto" w:before="4" w:after="0"/>
        <w:ind w:left="1301" w:right="0" w:hanging="180"/>
        <w:jc w:val="left"/>
        <w:rPr>
          <w:sz w:val="24"/>
        </w:rPr>
      </w:pPr>
      <w:r>
        <w:rPr>
          <w:sz w:val="24"/>
        </w:rPr>
        <w:t>– w akapicie siódmym zdanie drugie otrzymuje</w:t>
      </w:r>
      <w:r>
        <w:rPr>
          <w:spacing w:val="19"/>
          <w:sz w:val="24"/>
        </w:rPr>
        <w:t> </w:t>
      </w:r>
      <w:r>
        <w:rPr>
          <w:sz w:val="24"/>
        </w:rPr>
        <w:t>brzmienie:</w:t>
      </w:r>
    </w:p>
    <w:p>
      <w:pPr>
        <w:pStyle w:val="BodyText"/>
        <w:spacing w:line="360" w:lineRule="auto" w:before="137"/>
        <w:ind w:left="1598"/>
      </w:pPr>
      <w:r>
        <w:rPr/>
        <w:t>„Przykłady tablic przeddrogowskazowych umieszczanych na autostradzie pokazano na rysunkach 6.3.1.8 i 6.3.1.9.”,</w:t>
      </w:r>
    </w:p>
    <w:p>
      <w:pPr>
        <w:pStyle w:val="BodyText"/>
        <w:tabs>
          <w:tab w:pos="396" w:val="left" w:leader="none"/>
        </w:tabs>
        <w:spacing w:before="4"/>
        <w:ind w:right="5730"/>
        <w:jc w:val="center"/>
      </w:pPr>
      <w:r>
        <w:rPr/>
        <w:t>–</w:t>
        <w:tab/>
        <w:t>w pkt</w:t>
      </w:r>
      <w:r>
        <w:rPr>
          <w:spacing w:val="-2"/>
        </w:rPr>
        <w:t> </w:t>
      </w:r>
      <w:r>
        <w:rPr/>
        <w:t>6.3.2.1:</w:t>
      </w:r>
    </w:p>
    <w:p>
      <w:pPr>
        <w:pStyle w:val="ListParagraph"/>
        <w:numPr>
          <w:ilvl w:val="1"/>
          <w:numId w:val="2"/>
        </w:numPr>
        <w:tabs>
          <w:tab w:pos="1301" w:val="left" w:leader="none"/>
        </w:tabs>
        <w:spacing w:line="240" w:lineRule="auto" w:before="137" w:after="0"/>
        <w:ind w:left="1301" w:right="0" w:hanging="180"/>
        <w:jc w:val="left"/>
        <w:rPr>
          <w:sz w:val="24"/>
        </w:rPr>
      </w:pPr>
      <w:r>
        <w:rPr>
          <w:sz w:val="24"/>
        </w:rPr>
        <w:t>–  w akapicie trzecim tiret pierwsze otrzymuje</w:t>
      </w:r>
      <w:r>
        <w:rPr>
          <w:spacing w:val="-39"/>
          <w:sz w:val="24"/>
        </w:rPr>
        <w:t> </w:t>
      </w:r>
      <w:r>
        <w:rPr>
          <w:sz w:val="24"/>
        </w:rPr>
        <w:t>brzmienie:</w:t>
      </w:r>
    </w:p>
    <w:p>
      <w:pPr>
        <w:pStyle w:val="BodyText"/>
        <w:spacing w:before="137"/>
        <w:ind w:left="1518"/>
      </w:pPr>
      <w:r>
        <w:rPr/>
        <w:t>„– drogowskazy tablicowe E-2a, E-2b i E-2d,”,</w:t>
      </w:r>
    </w:p>
    <w:p>
      <w:pPr>
        <w:spacing w:after="0"/>
        <w:sectPr>
          <w:pgSz w:w="11910" w:h="16840"/>
          <w:pgMar w:header="719" w:footer="0" w:top="980" w:bottom="280" w:left="1680" w:right="1320"/>
        </w:sectPr>
      </w:pPr>
    </w:p>
    <w:p>
      <w:pPr>
        <w:pStyle w:val="BodyText"/>
        <w:rPr>
          <w:sz w:val="20"/>
        </w:rPr>
      </w:pPr>
    </w:p>
    <w:p>
      <w:pPr>
        <w:pStyle w:val="BodyText"/>
        <w:spacing w:before="2"/>
        <w:rPr>
          <w:sz w:val="22"/>
        </w:rPr>
      </w:pPr>
    </w:p>
    <w:p>
      <w:pPr>
        <w:pStyle w:val="ListParagraph"/>
        <w:numPr>
          <w:ilvl w:val="1"/>
          <w:numId w:val="2"/>
        </w:numPr>
        <w:tabs>
          <w:tab w:pos="1301" w:val="left" w:leader="none"/>
        </w:tabs>
        <w:spacing w:line="240" w:lineRule="auto" w:before="90" w:after="0"/>
        <w:ind w:left="1301" w:right="0" w:hanging="180"/>
        <w:jc w:val="left"/>
        <w:rPr>
          <w:sz w:val="24"/>
        </w:rPr>
      </w:pPr>
      <w:r>
        <w:rPr>
          <w:sz w:val="24"/>
        </w:rPr>
        <w:t>– po akapicie trzecim dodaje się akapity czwarty i piąty w</w:t>
      </w:r>
      <w:r>
        <w:rPr>
          <w:spacing w:val="14"/>
          <w:sz w:val="24"/>
        </w:rPr>
        <w:t> </w:t>
      </w:r>
      <w:r>
        <w:rPr>
          <w:sz w:val="24"/>
        </w:rPr>
        <w:t>brzmieniu:</w:t>
      </w:r>
    </w:p>
    <w:p>
      <w:pPr>
        <w:pStyle w:val="BodyText"/>
        <w:spacing w:line="360" w:lineRule="auto" w:before="138"/>
        <w:ind w:left="1518" w:right="114"/>
        <w:jc w:val="both"/>
      </w:pPr>
      <w:r>
        <w:rPr/>
        <w:t>„Drogowskazy tablicowe E-2d i E-3 na autostradzie i drodze ekspresowej umieszcza się łącznie ze znakiem E-20a.</w:t>
      </w:r>
    </w:p>
    <w:p>
      <w:pPr>
        <w:pStyle w:val="BodyText"/>
        <w:spacing w:line="360" w:lineRule="auto" w:before="5"/>
        <w:ind w:left="1518" w:right="111"/>
        <w:jc w:val="both"/>
      </w:pPr>
      <w:r>
        <w:rPr/>
        <w:t>Drogowskazy tablicowe E-2a i E-2b oraz E-2d na drodze ekspresowej mają tło barwy zielonej z wyjątkiem tych części lub członów, które oznaczają kierunki lub miejscowości na dojeździe do autostrady – mających tło</w:t>
      </w:r>
      <w:r>
        <w:rPr>
          <w:spacing w:val="-30"/>
        </w:rPr>
        <w:t> </w:t>
      </w:r>
      <w:r>
        <w:rPr/>
        <w:t>barwy niebieskiej, lub które oznaczają informacje lokalne – mających tło barwy białej.</w:t>
      </w:r>
      <w:r>
        <w:rPr>
          <w:spacing w:val="-10"/>
        </w:rPr>
        <w:t> </w:t>
      </w:r>
      <w:r>
        <w:rPr/>
        <w:t>Drogowskaz</w:t>
      </w:r>
      <w:r>
        <w:rPr>
          <w:spacing w:val="-10"/>
        </w:rPr>
        <w:t> </w:t>
      </w:r>
      <w:r>
        <w:rPr/>
        <w:t>tablicowy</w:t>
      </w:r>
      <w:r>
        <w:rPr>
          <w:spacing w:val="-9"/>
        </w:rPr>
        <w:t> </w:t>
      </w:r>
      <w:r>
        <w:rPr/>
        <w:t>E-2d</w:t>
      </w:r>
      <w:r>
        <w:rPr>
          <w:spacing w:val="-10"/>
        </w:rPr>
        <w:t> </w:t>
      </w:r>
      <w:r>
        <w:rPr/>
        <w:t>na</w:t>
      </w:r>
      <w:r>
        <w:rPr>
          <w:spacing w:val="-11"/>
        </w:rPr>
        <w:t> </w:t>
      </w:r>
      <w:r>
        <w:rPr/>
        <w:t>autostradzie</w:t>
      </w:r>
      <w:r>
        <w:rPr>
          <w:spacing w:val="-9"/>
        </w:rPr>
        <w:t> </w:t>
      </w:r>
      <w:r>
        <w:rPr/>
        <w:t>ma</w:t>
      </w:r>
      <w:r>
        <w:rPr>
          <w:spacing w:val="-11"/>
        </w:rPr>
        <w:t> </w:t>
      </w:r>
      <w:r>
        <w:rPr/>
        <w:t>tło</w:t>
      </w:r>
      <w:r>
        <w:rPr>
          <w:spacing w:val="-10"/>
        </w:rPr>
        <w:t> </w:t>
      </w:r>
      <w:r>
        <w:rPr/>
        <w:t>barwy</w:t>
      </w:r>
      <w:r>
        <w:rPr>
          <w:spacing w:val="-11"/>
        </w:rPr>
        <w:t> </w:t>
      </w:r>
      <w:r>
        <w:rPr/>
        <w:t>niebieskiej z wyjątkiem tych członów, które oznaczają kierunki lub miejscowości na dojeździe do dróg innych niż autostrada – mających tło barwy zielonej, lub które oznaczają informacje lokalne – mających tło barwy białej. Drogowskaz tablicowy E-3 ma tło barwy niebieskiej, gdy oznacza kierunki lub miejscowości na dojeździe do autostrady. W pozostałych przypadkach ma tło barwy</w:t>
      </w:r>
      <w:r>
        <w:rPr>
          <w:spacing w:val="-15"/>
        </w:rPr>
        <w:t> </w:t>
      </w:r>
      <w:r>
        <w:rPr/>
        <w:t>zielonej.”;</w:t>
      </w:r>
    </w:p>
    <w:p>
      <w:pPr>
        <w:pStyle w:val="ListParagraph"/>
        <w:numPr>
          <w:ilvl w:val="1"/>
          <w:numId w:val="2"/>
        </w:numPr>
        <w:tabs>
          <w:tab w:pos="1301" w:val="left" w:leader="none"/>
        </w:tabs>
        <w:spacing w:line="240" w:lineRule="auto" w:before="5" w:after="0"/>
        <w:ind w:left="1301" w:right="0" w:hanging="180"/>
        <w:jc w:val="left"/>
        <w:rPr>
          <w:sz w:val="24"/>
        </w:rPr>
      </w:pPr>
      <w:r>
        <w:rPr>
          <w:sz w:val="24"/>
        </w:rPr>
        <w:t>–  skreśla się rysunek</w:t>
      </w:r>
      <w:r>
        <w:rPr>
          <w:spacing w:val="-26"/>
          <w:sz w:val="24"/>
        </w:rPr>
        <w:t> </w:t>
      </w:r>
      <w:r>
        <w:rPr>
          <w:sz w:val="24"/>
        </w:rPr>
        <w:t>6.3.2.5,</w:t>
      </w:r>
    </w:p>
    <w:p>
      <w:pPr>
        <w:pStyle w:val="ListParagraph"/>
        <w:numPr>
          <w:ilvl w:val="1"/>
          <w:numId w:val="2"/>
        </w:numPr>
        <w:tabs>
          <w:tab w:pos="1301" w:val="left" w:leader="none"/>
        </w:tabs>
        <w:spacing w:line="240" w:lineRule="auto" w:before="138" w:after="0"/>
        <w:ind w:left="1301" w:right="0" w:hanging="180"/>
        <w:jc w:val="left"/>
        <w:rPr>
          <w:sz w:val="24"/>
        </w:rPr>
      </w:pPr>
      <w:r>
        <w:rPr>
          <w:sz w:val="24"/>
        </w:rPr>
        <w:t>–  podpis pod rysunkiem 6.3.2.6 otrzymuje</w:t>
      </w:r>
      <w:r>
        <w:rPr>
          <w:spacing w:val="-24"/>
          <w:sz w:val="24"/>
        </w:rPr>
        <w:t> </w:t>
      </w:r>
      <w:r>
        <w:rPr>
          <w:sz w:val="24"/>
        </w:rPr>
        <w:t>brzmienie:</w:t>
      </w:r>
    </w:p>
    <w:p>
      <w:pPr>
        <w:pStyle w:val="BodyText"/>
        <w:spacing w:before="138"/>
        <w:ind w:left="1518"/>
        <w:jc w:val="both"/>
      </w:pPr>
      <w:r>
        <w:rPr/>
        <w:t>„Rys. 6.3.2.6. Drogowskaz E-2a wskazujący dojazd do autostrady”,</w:t>
      </w:r>
    </w:p>
    <w:p>
      <w:pPr>
        <w:pStyle w:val="BodyText"/>
        <w:tabs>
          <w:tab w:pos="1121" w:val="left" w:leader="none"/>
        </w:tabs>
        <w:spacing w:before="138"/>
        <w:ind w:left="725"/>
      </w:pPr>
      <w:r>
        <w:rPr/>
        <w:t>–</w:t>
        <w:tab/>
        <w:t>w pkt</w:t>
      </w:r>
      <w:r>
        <w:rPr>
          <w:spacing w:val="-2"/>
        </w:rPr>
        <w:t> </w:t>
      </w:r>
      <w:r>
        <w:rPr/>
        <w:t>6.3.2.2:</w:t>
      </w:r>
    </w:p>
    <w:p>
      <w:pPr>
        <w:pStyle w:val="ListParagraph"/>
        <w:numPr>
          <w:ilvl w:val="1"/>
          <w:numId w:val="2"/>
        </w:numPr>
        <w:tabs>
          <w:tab w:pos="1301" w:val="left" w:leader="none"/>
        </w:tabs>
        <w:spacing w:line="240" w:lineRule="auto" w:before="138" w:after="0"/>
        <w:ind w:left="1301" w:right="0" w:hanging="180"/>
        <w:jc w:val="left"/>
        <w:rPr>
          <w:sz w:val="24"/>
        </w:rPr>
      </w:pPr>
      <w:r>
        <w:rPr>
          <w:sz w:val="24"/>
        </w:rPr>
        <w:t>–  akapity  pierwszy-trzeci otrzymują</w:t>
      </w:r>
      <w:r>
        <w:rPr>
          <w:spacing w:val="-29"/>
          <w:sz w:val="24"/>
        </w:rPr>
        <w:t> </w:t>
      </w:r>
      <w:r>
        <w:rPr>
          <w:sz w:val="24"/>
        </w:rPr>
        <w:t>brzmienie:</w:t>
      </w:r>
    </w:p>
    <w:p>
      <w:pPr>
        <w:pStyle w:val="BodyText"/>
        <w:spacing w:before="138"/>
        <w:ind w:left="1518"/>
        <w:jc w:val="both"/>
      </w:pPr>
      <w:r>
        <w:rPr/>
        <w:t>„Drogowskazy tablicowe umieszcza się:</w:t>
      </w:r>
    </w:p>
    <w:p>
      <w:pPr>
        <w:pStyle w:val="ListParagraph"/>
        <w:numPr>
          <w:ilvl w:val="0"/>
          <w:numId w:val="3"/>
        </w:numPr>
        <w:tabs>
          <w:tab w:pos="2028" w:val="left" w:leader="none"/>
        </w:tabs>
        <w:spacing w:line="240" w:lineRule="auto" w:before="138" w:after="0"/>
        <w:ind w:left="2028" w:right="0" w:hanging="510"/>
        <w:jc w:val="both"/>
        <w:rPr>
          <w:sz w:val="24"/>
        </w:rPr>
      </w:pPr>
      <w:r>
        <w:rPr>
          <w:sz w:val="24"/>
        </w:rPr>
        <w:t>na autostradach i drogach</w:t>
      </w:r>
      <w:r>
        <w:rPr>
          <w:spacing w:val="-24"/>
          <w:sz w:val="24"/>
        </w:rPr>
        <w:t> </w:t>
      </w:r>
      <w:r>
        <w:rPr>
          <w:sz w:val="24"/>
        </w:rPr>
        <w:t>ekspresowych:</w:t>
      </w:r>
    </w:p>
    <w:p>
      <w:pPr>
        <w:pStyle w:val="ListParagraph"/>
        <w:numPr>
          <w:ilvl w:val="1"/>
          <w:numId w:val="3"/>
        </w:numPr>
        <w:tabs>
          <w:tab w:pos="2504" w:val="left" w:leader="none"/>
          <w:tab w:pos="2505" w:val="left" w:leader="none"/>
        </w:tabs>
        <w:spacing w:line="240" w:lineRule="auto" w:before="138" w:after="0"/>
        <w:ind w:left="2505" w:right="0" w:hanging="476"/>
        <w:jc w:val="left"/>
        <w:rPr>
          <w:sz w:val="24"/>
        </w:rPr>
      </w:pPr>
      <w:r>
        <w:rPr>
          <w:sz w:val="24"/>
        </w:rPr>
        <w:t>nad jezdniami głównymi</w:t>
      </w:r>
      <w:r>
        <w:rPr>
          <w:spacing w:val="-10"/>
          <w:sz w:val="24"/>
        </w:rPr>
        <w:t> </w:t>
      </w:r>
      <w:r>
        <w:rPr>
          <w:sz w:val="24"/>
        </w:rPr>
        <w:t>(E-2d),</w:t>
      </w:r>
    </w:p>
    <w:p>
      <w:pPr>
        <w:pStyle w:val="ListParagraph"/>
        <w:numPr>
          <w:ilvl w:val="1"/>
          <w:numId w:val="3"/>
        </w:numPr>
        <w:tabs>
          <w:tab w:pos="2504" w:val="left" w:leader="none"/>
          <w:tab w:pos="2505" w:val="left" w:leader="none"/>
        </w:tabs>
        <w:spacing w:line="360" w:lineRule="auto" w:before="138" w:after="0"/>
        <w:ind w:left="2505" w:right="112" w:hanging="476"/>
        <w:jc w:val="left"/>
        <w:rPr>
          <w:sz w:val="24"/>
        </w:rPr>
      </w:pPr>
      <w:r>
        <w:rPr>
          <w:sz w:val="24"/>
        </w:rPr>
        <w:t>obok jezdni dodatkowych i zbierająco-rozprowadzających (E-2a) lub nad tymi jezdniami</w:t>
      </w:r>
      <w:r>
        <w:rPr>
          <w:spacing w:val="-14"/>
          <w:sz w:val="24"/>
        </w:rPr>
        <w:t> </w:t>
      </w:r>
      <w:r>
        <w:rPr>
          <w:sz w:val="24"/>
        </w:rPr>
        <w:t>(E-2b);</w:t>
      </w:r>
    </w:p>
    <w:p>
      <w:pPr>
        <w:pStyle w:val="ListParagraph"/>
        <w:numPr>
          <w:ilvl w:val="0"/>
          <w:numId w:val="3"/>
        </w:numPr>
        <w:tabs>
          <w:tab w:pos="2027" w:val="left" w:leader="none"/>
          <w:tab w:pos="2028" w:val="left" w:leader="none"/>
        </w:tabs>
        <w:spacing w:line="360" w:lineRule="auto" w:before="5" w:after="0"/>
        <w:ind w:left="2028" w:right="113" w:hanging="510"/>
        <w:jc w:val="left"/>
        <w:rPr>
          <w:sz w:val="24"/>
        </w:rPr>
      </w:pPr>
      <w:r>
        <w:rPr>
          <w:sz w:val="24"/>
        </w:rPr>
        <w:t>na drogach innych niż autostrady i drogi ekspresowe: obok jezdni (E-2a) lub nad jezdniami</w:t>
      </w:r>
      <w:r>
        <w:rPr>
          <w:spacing w:val="-11"/>
          <w:sz w:val="24"/>
        </w:rPr>
        <w:t> </w:t>
      </w:r>
      <w:r>
        <w:rPr>
          <w:sz w:val="24"/>
        </w:rPr>
        <w:t>(E-2b).</w:t>
      </w:r>
    </w:p>
    <w:p>
      <w:pPr>
        <w:pStyle w:val="BodyText"/>
        <w:spacing w:line="360" w:lineRule="auto" w:before="5"/>
        <w:ind w:left="1518" w:right="112"/>
        <w:jc w:val="both"/>
      </w:pPr>
      <w:r>
        <w:rPr/>
        <w:t>Na  drogach  innych  niż  autostrady  i  drogi  ekspresowe,  szczególnie     w miastach, zaleca się umieszczać drogowskazy nad jezdnią, jeżeli uzasadnia to liczba pasów ruchu w danym kierunku – większa od dwóch, oraz</w:t>
      </w:r>
      <w:r>
        <w:rPr>
          <w:spacing w:val="-15"/>
        </w:rPr>
        <w:t> </w:t>
      </w:r>
      <w:r>
        <w:rPr/>
        <w:t>jeżeli</w:t>
      </w:r>
      <w:r>
        <w:rPr>
          <w:spacing w:val="-14"/>
        </w:rPr>
        <w:t> </w:t>
      </w:r>
      <w:r>
        <w:rPr/>
        <w:t>taka</w:t>
      </w:r>
      <w:r>
        <w:rPr>
          <w:spacing w:val="-14"/>
        </w:rPr>
        <w:t> </w:t>
      </w:r>
      <w:r>
        <w:rPr/>
        <w:t>lokalizacja</w:t>
      </w:r>
      <w:r>
        <w:rPr>
          <w:spacing w:val="-13"/>
        </w:rPr>
        <w:t> </w:t>
      </w:r>
      <w:r>
        <w:rPr/>
        <w:t>polepszy</w:t>
      </w:r>
      <w:r>
        <w:rPr>
          <w:spacing w:val="-15"/>
        </w:rPr>
        <w:t> </w:t>
      </w:r>
      <w:r>
        <w:rPr/>
        <w:t>widoczność</w:t>
      </w:r>
      <w:r>
        <w:rPr>
          <w:spacing w:val="-14"/>
        </w:rPr>
        <w:t> </w:t>
      </w:r>
      <w:r>
        <w:rPr/>
        <w:t>i</w:t>
      </w:r>
      <w:r>
        <w:rPr>
          <w:spacing w:val="-15"/>
        </w:rPr>
        <w:t> </w:t>
      </w:r>
      <w:r>
        <w:rPr/>
        <w:t>zapewni</w:t>
      </w:r>
      <w:r>
        <w:rPr>
          <w:spacing w:val="-14"/>
        </w:rPr>
        <w:t> </w:t>
      </w:r>
      <w:r>
        <w:rPr/>
        <w:t>lepszą</w:t>
      </w:r>
      <w:r>
        <w:rPr>
          <w:spacing w:val="-14"/>
        </w:rPr>
        <w:t> </w:t>
      </w:r>
      <w:r>
        <w:rPr/>
        <w:t>czytelność drogowskazu (rys.</w:t>
      </w:r>
      <w:r>
        <w:rPr>
          <w:spacing w:val="-2"/>
        </w:rPr>
        <w:t> </w:t>
      </w:r>
      <w:r>
        <w:rPr/>
        <w:t>6.3.2.8).</w:t>
      </w:r>
    </w:p>
    <w:p>
      <w:pPr>
        <w:pStyle w:val="BodyText"/>
        <w:spacing w:line="360" w:lineRule="auto" w:before="5"/>
        <w:ind w:left="1518" w:right="112"/>
        <w:jc w:val="both"/>
      </w:pPr>
      <w:r>
        <w:rPr/>
        <w:t>Drogowskaz E-2a umieszcza się po prawej stronie jezdni, a drogowskazy E-2b i E-2d nad jezdnią, w odległości do 50 m od skrzyżowania. Jeżeli   na</w:t>
      </w:r>
    </w:p>
    <w:p>
      <w:pPr>
        <w:spacing w:after="0" w:line="360" w:lineRule="auto"/>
        <w:jc w:val="both"/>
        <w:sectPr>
          <w:pgSz w:w="11910" w:h="16840"/>
          <w:pgMar w:header="719" w:footer="0" w:top="980" w:bottom="280" w:left="1680" w:right="1320"/>
        </w:sectPr>
      </w:pPr>
    </w:p>
    <w:p>
      <w:pPr>
        <w:pStyle w:val="BodyText"/>
        <w:rPr>
          <w:sz w:val="20"/>
        </w:rPr>
      </w:pPr>
    </w:p>
    <w:p>
      <w:pPr>
        <w:pStyle w:val="BodyText"/>
        <w:spacing w:before="2"/>
        <w:rPr>
          <w:sz w:val="22"/>
        </w:rPr>
      </w:pPr>
    </w:p>
    <w:p>
      <w:pPr>
        <w:pStyle w:val="BodyText"/>
        <w:spacing w:before="90"/>
        <w:ind w:left="1518"/>
        <w:jc w:val="both"/>
      </w:pPr>
      <w:r>
        <w:rPr/>
        <w:t>wlocie zastosowano  pas wyłączania,  to drogowskaz tablicowy  umieszcza</w:t>
      </w:r>
    </w:p>
    <w:p>
      <w:pPr>
        <w:pStyle w:val="BodyText"/>
        <w:spacing w:before="138"/>
        <w:ind w:left="1518"/>
        <w:jc w:val="both"/>
      </w:pPr>
      <w:r>
        <w:rPr/>
        <w:t>się:</w:t>
      </w:r>
    </w:p>
    <w:p>
      <w:pPr>
        <w:pStyle w:val="ListParagraph"/>
        <w:numPr>
          <w:ilvl w:val="1"/>
          <w:numId w:val="3"/>
        </w:numPr>
        <w:tabs>
          <w:tab w:pos="1994" w:val="left" w:leader="none"/>
        </w:tabs>
        <w:spacing w:line="360" w:lineRule="auto" w:before="138" w:after="0"/>
        <w:ind w:left="1994" w:right="212" w:hanging="476"/>
        <w:jc w:val="both"/>
        <w:rPr>
          <w:sz w:val="24"/>
        </w:rPr>
      </w:pPr>
      <w:r>
        <w:rPr>
          <w:sz w:val="24"/>
        </w:rPr>
        <w:t>na autostradach i drogach ekspresowych – w miejscu, w którym pas wyłączenia osiąga pełną szerokość, lub w nieznacznej odległości od tego miejsca w przypadku braku fizycznej możliwości lokalizacji konstrukcji</w:t>
      </w:r>
      <w:r>
        <w:rPr>
          <w:spacing w:val="-11"/>
          <w:sz w:val="24"/>
        </w:rPr>
        <w:t> </w:t>
      </w:r>
      <w:r>
        <w:rPr>
          <w:sz w:val="24"/>
        </w:rPr>
        <w:t>wsporczej,</w:t>
      </w:r>
    </w:p>
    <w:p>
      <w:pPr>
        <w:pStyle w:val="ListParagraph"/>
        <w:numPr>
          <w:ilvl w:val="1"/>
          <w:numId w:val="3"/>
        </w:numPr>
        <w:tabs>
          <w:tab w:pos="1993" w:val="left" w:leader="none"/>
          <w:tab w:pos="1994" w:val="left" w:leader="none"/>
        </w:tabs>
        <w:spacing w:line="360" w:lineRule="auto" w:before="5" w:after="0"/>
        <w:ind w:left="1994" w:right="212" w:hanging="476"/>
        <w:jc w:val="left"/>
        <w:rPr>
          <w:sz w:val="24"/>
        </w:rPr>
      </w:pPr>
      <w:r>
        <w:rPr>
          <w:sz w:val="24"/>
        </w:rPr>
        <w:t>na</w:t>
      </w:r>
      <w:r>
        <w:rPr>
          <w:spacing w:val="-15"/>
          <w:sz w:val="24"/>
        </w:rPr>
        <w:t> </w:t>
      </w:r>
      <w:r>
        <w:rPr>
          <w:sz w:val="24"/>
        </w:rPr>
        <w:t>drogach</w:t>
      </w:r>
      <w:r>
        <w:rPr>
          <w:spacing w:val="-15"/>
          <w:sz w:val="24"/>
        </w:rPr>
        <w:t> </w:t>
      </w:r>
      <w:r>
        <w:rPr>
          <w:sz w:val="24"/>
        </w:rPr>
        <w:t>innych</w:t>
      </w:r>
      <w:r>
        <w:rPr>
          <w:spacing w:val="-14"/>
          <w:sz w:val="24"/>
        </w:rPr>
        <w:t> </w:t>
      </w:r>
      <w:r>
        <w:rPr>
          <w:sz w:val="24"/>
        </w:rPr>
        <w:t>niż</w:t>
      </w:r>
      <w:r>
        <w:rPr>
          <w:spacing w:val="-15"/>
          <w:sz w:val="24"/>
        </w:rPr>
        <w:t> </w:t>
      </w:r>
      <w:r>
        <w:rPr>
          <w:sz w:val="24"/>
        </w:rPr>
        <w:t>autostrady</w:t>
      </w:r>
      <w:r>
        <w:rPr>
          <w:spacing w:val="-13"/>
          <w:sz w:val="24"/>
        </w:rPr>
        <w:t> </w:t>
      </w:r>
      <w:r>
        <w:rPr>
          <w:sz w:val="24"/>
        </w:rPr>
        <w:t>i</w:t>
      </w:r>
      <w:r>
        <w:rPr>
          <w:spacing w:val="-15"/>
          <w:sz w:val="24"/>
        </w:rPr>
        <w:t> </w:t>
      </w:r>
      <w:r>
        <w:rPr>
          <w:sz w:val="24"/>
        </w:rPr>
        <w:t>drogi</w:t>
      </w:r>
      <w:r>
        <w:rPr>
          <w:spacing w:val="-15"/>
          <w:sz w:val="24"/>
        </w:rPr>
        <w:t> </w:t>
      </w:r>
      <w:r>
        <w:rPr>
          <w:sz w:val="24"/>
        </w:rPr>
        <w:t>ekspresowe</w:t>
      </w:r>
      <w:r>
        <w:rPr>
          <w:spacing w:val="-13"/>
          <w:sz w:val="24"/>
        </w:rPr>
        <w:t> </w:t>
      </w:r>
      <w:r>
        <w:rPr>
          <w:sz w:val="24"/>
        </w:rPr>
        <w:t>–</w:t>
      </w:r>
      <w:r>
        <w:rPr>
          <w:spacing w:val="-15"/>
          <w:sz w:val="24"/>
        </w:rPr>
        <w:t> </w:t>
      </w:r>
      <w:r>
        <w:rPr>
          <w:sz w:val="24"/>
        </w:rPr>
        <w:t>na</w:t>
      </w:r>
      <w:r>
        <w:rPr>
          <w:spacing w:val="-15"/>
          <w:sz w:val="24"/>
        </w:rPr>
        <w:t> </w:t>
      </w:r>
      <w:r>
        <w:rPr>
          <w:sz w:val="24"/>
        </w:rPr>
        <w:t>początku</w:t>
      </w:r>
      <w:r>
        <w:rPr>
          <w:spacing w:val="-14"/>
          <w:sz w:val="24"/>
        </w:rPr>
        <w:t> </w:t>
      </w:r>
      <w:r>
        <w:rPr>
          <w:sz w:val="24"/>
        </w:rPr>
        <w:t>tego pasa.</w:t>
      </w:r>
    </w:p>
    <w:p>
      <w:pPr>
        <w:pStyle w:val="BodyText"/>
        <w:spacing w:line="360" w:lineRule="auto" w:before="5"/>
        <w:ind w:left="1518" w:right="212"/>
        <w:jc w:val="both"/>
      </w:pPr>
      <w:r>
        <w:rPr/>
        <w:t>Drogowskazy tablicowe E-2a, E-2b i E-2d stosuje się w celu wskazania na skrzyżowaniu lub bezpośrednio przed nim numerów dróg i kierunków do miejscowości, a także dzielnic miast, obiektów komunikacyjnych, turystycznych, wypoczynkowych itp.”,</w:t>
      </w:r>
    </w:p>
    <w:p>
      <w:pPr>
        <w:pStyle w:val="ListParagraph"/>
        <w:numPr>
          <w:ilvl w:val="1"/>
          <w:numId w:val="2"/>
        </w:numPr>
        <w:tabs>
          <w:tab w:pos="1301" w:val="left" w:leader="none"/>
        </w:tabs>
        <w:spacing w:line="240" w:lineRule="auto" w:before="5" w:after="0"/>
        <w:ind w:left="1301" w:right="2766" w:hanging="180"/>
        <w:jc w:val="left"/>
        <w:rPr>
          <w:sz w:val="24"/>
        </w:rPr>
      </w:pPr>
      <w:r>
        <w:rPr>
          <w:sz w:val="24"/>
        </w:rPr>
        <w:t>–  rysunek 6.3.2.8 otrzymuje</w:t>
      </w:r>
      <w:r>
        <w:rPr>
          <w:spacing w:val="-24"/>
          <w:sz w:val="24"/>
        </w:rPr>
        <w:t> </w:t>
      </w:r>
      <w:r>
        <w:rPr>
          <w:sz w:val="24"/>
        </w:rPr>
        <w:t>brzmienie:</w:t>
      </w:r>
    </w:p>
    <w:p>
      <w:pPr>
        <w:pStyle w:val="BodyText"/>
        <w:spacing w:before="138"/>
        <w:ind w:left="1518"/>
        <w:jc w:val="both"/>
      </w:pPr>
      <w:r>
        <w:rPr/>
        <w:drawing>
          <wp:anchor distT="0" distB="0" distL="0" distR="0" allowOverlap="1" layoutInCell="1" locked="0" behindDoc="0" simplePos="0" relativeHeight="1096">
            <wp:simplePos x="0" y="0"/>
            <wp:positionH relativeFrom="page">
              <wp:posOffset>2030730</wp:posOffset>
            </wp:positionH>
            <wp:positionV relativeFrom="paragraph">
              <wp:posOffset>350496</wp:posOffset>
            </wp:positionV>
            <wp:extent cx="3894581" cy="875918"/>
            <wp:effectExtent l="0" t="0" r="0" b="0"/>
            <wp:wrapTopAndBottom/>
            <wp:docPr id="7" name="image4.png" descr=""/>
            <wp:cNvGraphicFramePr>
              <a:graphicFrameLocks noChangeAspect="1"/>
            </wp:cNvGraphicFramePr>
            <a:graphic>
              <a:graphicData uri="http://schemas.openxmlformats.org/drawingml/2006/picture">
                <pic:pic>
                  <pic:nvPicPr>
                    <pic:cNvPr id="8" name="image4.png"/>
                    <pic:cNvPicPr/>
                  </pic:nvPicPr>
                  <pic:blipFill>
                    <a:blip r:embed="rId9" cstate="print"/>
                    <a:stretch>
                      <a:fillRect/>
                    </a:stretch>
                  </pic:blipFill>
                  <pic:spPr>
                    <a:xfrm>
                      <a:off x="0" y="0"/>
                      <a:ext cx="3894581" cy="875918"/>
                    </a:xfrm>
                    <a:prstGeom prst="rect">
                      <a:avLst/>
                    </a:prstGeom>
                  </pic:spPr>
                </pic:pic>
              </a:graphicData>
            </a:graphic>
          </wp:anchor>
        </w:drawing>
      </w:r>
      <w:r>
        <w:rPr/>
        <w:t>„Rys. 6.3.2.8. Drogowskazy umieszczane nad jezdnią:</w:t>
      </w:r>
    </w:p>
    <w:p>
      <w:pPr>
        <w:pStyle w:val="ListParagraph"/>
        <w:numPr>
          <w:ilvl w:val="0"/>
          <w:numId w:val="4"/>
        </w:numPr>
        <w:tabs>
          <w:tab w:pos="1765" w:val="left" w:leader="none"/>
        </w:tabs>
        <w:spacing w:line="240" w:lineRule="auto" w:before="110" w:after="137"/>
        <w:ind w:left="1764" w:right="0" w:hanging="246"/>
        <w:jc w:val="both"/>
        <w:rPr>
          <w:sz w:val="24"/>
        </w:rPr>
      </w:pPr>
      <w:r>
        <w:rPr>
          <w:sz w:val="24"/>
        </w:rPr>
        <w:t>E-2b na drodze krajowej innej niż autostrada i droga</w:t>
      </w:r>
      <w:r>
        <w:rPr>
          <w:spacing w:val="-29"/>
          <w:sz w:val="24"/>
        </w:rPr>
        <w:t> </w:t>
      </w:r>
      <w:r>
        <w:rPr>
          <w:sz w:val="24"/>
        </w:rPr>
        <w:t>ekspresowa</w:t>
      </w:r>
    </w:p>
    <w:p>
      <w:pPr>
        <w:pStyle w:val="BodyText"/>
        <w:ind w:left="1518"/>
        <w:rPr>
          <w:sz w:val="20"/>
        </w:rPr>
      </w:pPr>
      <w:r>
        <w:rPr>
          <w:sz w:val="20"/>
        </w:rPr>
        <w:drawing>
          <wp:inline distT="0" distB="0" distL="0" distR="0">
            <wp:extent cx="4690688" cy="670560"/>
            <wp:effectExtent l="0" t="0" r="0" b="0"/>
            <wp:docPr id="9" name="image5.png" descr=""/>
            <wp:cNvGraphicFramePr>
              <a:graphicFrameLocks noChangeAspect="1"/>
            </wp:cNvGraphicFramePr>
            <a:graphic>
              <a:graphicData uri="http://schemas.openxmlformats.org/drawingml/2006/picture">
                <pic:pic>
                  <pic:nvPicPr>
                    <pic:cNvPr id="10" name="image5.png"/>
                    <pic:cNvPicPr/>
                  </pic:nvPicPr>
                  <pic:blipFill>
                    <a:blip r:embed="rId10" cstate="print"/>
                    <a:stretch>
                      <a:fillRect/>
                    </a:stretch>
                  </pic:blipFill>
                  <pic:spPr>
                    <a:xfrm>
                      <a:off x="0" y="0"/>
                      <a:ext cx="4690688" cy="670560"/>
                    </a:xfrm>
                    <a:prstGeom prst="rect">
                      <a:avLst/>
                    </a:prstGeom>
                  </pic:spPr>
                </pic:pic>
              </a:graphicData>
            </a:graphic>
          </wp:inline>
        </w:drawing>
      </w:r>
      <w:r>
        <w:rPr>
          <w:sz w:val="20"/>
        </w:rPr>
      </w:r>
    </w:p>
    <w:p>
      <w:pPr>
        <w:pStyle w:val="ListParagraph"/>
        <w:numPr>
          <w:ilvl w:val="0"/>
          <w:numId w:val="4"/>
        </w:numPr>
        <w:tabs>
          <w:tab w:pos="1778" w:val="left" w:leader="none"/>
        </w:tabs>
        <w:spacing w:line="240" w:lineRule="auto" w:before="135" w:after="0"/>
        <w:ind w:left="1777" w:right="0" w:hanging="259"/>
        <w:jc w:val="both"/>
        <w:rPr>
          <w:sz w:val="24"/>
        </w:rPr>
      </w:pPr>
      <w:r>
        <w:rPr>
          <w:sz w:val="24"/>
        </w:rPr>
        <w:t>E-2b  na  drodze  krajowej  innej  niż  autostrada  i  droga   </w:t>
      </w:r>
      <w:r>
        <w:rPr>
          <w:spacing w:val="46"/>
          <w:sz w:val="24"/>
        </w:rPr>
        <w:t> </w:t>
      </w:r>
      <w:r>
        <w:rPr>
          <w:sz w:val="24"/>
        </w:rPr>
        <w:t>ekspresowa,</w:t>
      </w:r>
    </w:p>
    <w:p>
      <w:pPr>
        <w:pStyle w:val="BodyText"/>
        <w:spacing w:before="137"/>
        <w:ind w:left="1518"/>
        <w:jc w:val="both"/>
      </w:pPr>
      <w:r>
        <w:rPr/>
        <w:t>wskazujący dojazd do autostrady</w:t>
      </w:r>
    </w:p>
    <w:p>
      <w:pPr>
        <w:pStyle w:val="BodyText"/>
        <w:rPr>
          <w:sz w:val="20"/>
        </w:rPr>
      </w:pPr>
    </w:p>
    <w:p>
      <w:pPr>
        <w:pStyle w:val="BodyText"/>
        <w:spacing w:before="6"/>
      </w:pPr>
      <w:r>
        <w:rPr/>
        <w:drawing>
          <wp:anchor distT="0" distB="0" distL="0" distR="0" allowOverlap="1" layoutInCell="1" locked="0" behindDoc="0" simplePos="0" relativeHeight="1120">
            <wp:simplePos x="0" y="0"/>
            <wp:positionH relativeFrom="page">
              <wp:posOffset>2030730</wp:posOffset>
            </wp:positionH>
            <wp:positionV relativeFrom="paragraph">
              <wp:posOffset>204190</wp:posOffset>
            </wp:positionV>
            <wp:extent cx="4369203" cy="792099"/>
            <wp:effectExtent l="0" t="0" r="0" b="0"/>
            <wp:wrapTopAndBottom/>
            <wp:docPr id="11" name="image6.png" descr=""/>
            <wp:cNvGraphicFramePr>
              <a:graphicFrameLocks noChangeAspect="1"/>
            </wp:cNvGraphicFramePr>
            <a:graphic>
              <a:graphicData uri="http://schemas.openxmlformats.org/drawingml/2006/picture">
                <pic:pic>
                  <pic:nvPicPr>
                    <pic:cNvPr id="12" name="image6.png"/>
                    <pic:cNvPicPr/>
                  </pic:nvPicPr>
                  <pic:blipFill>
                    <a:blip r:embed="rId11" cstate="print"/>
                    <a:stretch>
                      <a:fillRect/>
                    </a:stretch>
                  </pic:blipFill>
                  <pic:spPr>
                    <a:xfrm>
                      <a:off x="0" y="0"/>
                      <a:ext cx="4369203" cy="792099"/>
                    </a:xfrm>
                    <a:prstGeom prst="rect">
                      <a:avLst/>
                    </a:prstGeom>
                  </pic:spPr>
                </pic:pic>
              </a:graphicData>
            </a:graphic>
          </wp:anchor>
        </w:drawing>
      </w:r>
    </w:p>
    <w:p>
      <w:pPr>
        <w:pStyle w:val="ListParagraph"/>
        <w:numPr>
          <w:ilvl w:val="0"/>
          <w:numId w:val="4"/>
        </w:numPr>
        <w:tabs>
          <w:tab w:pos="1765" w:val="left" w:leader="none"/>
        </w:tabs>
        <w:spacing w:line="240" w:lineRule="auto" w:before="103" w:after="0"/>
        <w:ind w:left="1764" w:right="0" w:hanging="246"/>
        <w:jc w:val="left"/>
        <w:rPr>
          <w:sz w:val="24"/>
        </w:rPr>
      </w:pPr>
      <w:r>
        <w:rPr>
          <w:sz w:val="24"/>
        </w:rPr>
        <w:t>E-2b na drodze wojewódzkiej, wskazujący dojazd do drogi</w:t>
      </w:r>
      <w:r>
        <w:rPr>
          <w:spacing w:val="-27"/>
          <w:sz w:val="24"/>
        </w:rPr>
        <w:t> </w:t>
      </w:r>
      <w:r>
        <w:rPr>
          <w:sz w:val="24"/>
        </w:rPr>
        <w:t>ekspresowej</w:t>
      </w:r>
    </w:p>
    <w:p>
      <w:pPr>
        <w:spacing w:after="0" w:line="240" w:lineRule="auto"/>
        <w:jc w:val="left"/>
        <w:rPr>
          <w:sz w:val="24"/>
        </w:rPr>
        <w:sectPr>
          <w:pgSz w:w="11910" w:h="16840"/>
          <w:pgMar w:header="719" w:footer="0" w:top="980" w:bottom="280" w:left="1680" w:right="1220"/>
        </w:sectPr>
      </w:pPr>
    </w:p>
    <w:p>
      <w:pPr>
        <w:pStyle w:val="BodyText"/>
        <w:rPr>
          <w:sz w:val="20"/>
        </w:rPr>
      </w:pPr>
    </w:p>
    <w:p>
      <w:pPr>
        <w:pStyle w:val="BodyText"/>
        <w:rPr>
          <w:sz w:val="20"/>
        </w:rPr>
      </w:pPr>
    </w:p>
    <w:p>
      <w:pPr>
        <w:pStyle w:val="BodyText"/>
        <w:rPr>
          <w:sz w:val="10"/>
        </w:rPr>
      </w:pPr>
    </w:p>
    <w:p>
      <w:pPr>
        <w:pStyle w:val="BodyText"/>
        <w:ind w:left="1518"/>
        <w:rPr>
          <w:sz w:val="20"/>
        </w:rPr>
      </w:pPr>
      <w:r>
        <w:rPr>
          <w:sz w:val="20"/>
        </w:rPr>
        <w:drawing>
          <wp:inline distT="0" distB="0" distL="0" distR="0">
            <wp:extent cx="4918474" cy="880109"/>
            <wp:effectExtent l="0" t="0" r="0" b="0"/>
            <wp:docPr id="13" name="image7.png" descr=""/>
            <wp:cNvGraphicFramePr>
              <a:graphicFrameLocks noChangeAspect="1"/>
            </wp:cNvGraphicFramePr>
            <a:graphic>
              <a:graphicData uri="http://schemas.openxmlformats.org/drawingml/2006/picture">
                <pic:pic>
                  <pic:nvPicPr>
                    <pic:cNvPr id="14" name="image7.png"/>
                    <pic:cNvPicPr/>
                  </pic:nvPicPr>
                  <pic:blipFill>
                    <a:blip r:embed="rId12" cstate="print"/>
                    <a:stretch>
                      <a:fillRect/>
                    </a:stretch>
                  </pic:blipFill>
                  <pic:spPr>
                    <a:xfrm>
                      <a:off x="0" y="0"/>
                      <a:ext cx="4918474" cy="880109"/>
                    </a:xfrm>
                    <a:prstGeom prst="rect">
                      <a:avLst/>
                    </a:prstGeom>
                  </pic:spPr>
                </pic:pic>
              </a:graphicData>
            </a:graphic>
          </wp:inline>
        </w:drawing>
      </w:r>
      <w:r>
        <w:rPr>
          <w:sz w:val="20"/>
        </w:rPr>
      </w:r>
    </w:p>
    <w:p>
      <w:pPr>
        <w:pStyle w:val="ListParagraph"/>
        <w:numPr>
          <w:ilvl w:val="0"/>
          <w:numId w:val="4"/>
        </w:numPr>
        <w:tabs>
          <w:tab w:pos="1778" w:val="left" w:leader="none"/>
        </w:tabs>
        <w:spacing w:line="240" w:lineRule="auto" w:before="132" w:after="0"/>
        <w:ind w:left="1777" w:right="0" w:hanging="259"/>
        <w:jc w:val="both"/>
        <w:rPr>
          <w:sz w:val="24"/>
        </w:rPr>
      </w:pPr>
      <w:r>
        <w:rPr>
          <w:sz w:val="24"/>
        </w:rPr>
        <w:t>E-2d</w:t>
      </w:r>
      <w:r>
        <w:rPr>
          <w:spacing w:val="-18"/>
          <w:sz w:val="24"/>
        </w:rPr>
        <w:t> </w:t>
      </w:r>
      <w:r>
        <w:rPr>
          <w:sz w:val="24"/>
        </w:rPr>
        <w:t>ze</w:t>
      </w:r>
      <w:r>
        <w:rPr>
          <w:spacing w:val="-19"/>
          <w:sz w:val="24"/>
        </w:rPr>
        <w:t> </w:t>
      </w:r>
      <w:r>
        <w:rPr>
          <w:sz w:val="24"/>
        </w:rPr>
        <w:t>znakiem</w:t>
      </w:r>
      <w:r>
        <w:rPr>
          <w:spacing w:val="-18"/>
          <w:sz w:val="24"/>
        </w:rPr>
        <w:t> </w:t>
      </w:r>
      <w:r>
        <w:rPr>
          <w:sz w:val="24"/>
        </w:rPr>
        <w:t>E-20a</w:t>
      </w:r>
      <w:r>
        <w:rPr>
          <w:spacing w:val="-18"/>
          <w:sz w:val="24"/>
        </w:rPr>
        <w:t> </w:t>
      </w:r>
      <w:r>
        <w:rPr>
          <w:sz w:val="24"/>
        </w:rPr>
        <w:t>na</w:t>
      </w:r>
      <w:r>
        <w:rPr>
          <w:spacing w:val="-19"/>
          <w:sz w:val="24"/>
        </w:rPr>
        <w:t> </w:t>
      </w:r>
      <w:r>
        <w:rPr>
          <w:sz w:val="24"/>
        </w:rPr>
        <w:t>autostradzie</w:t>
      </w:r>
      <w:r>
        <w:rPr>
          <w:spacing w:val="-16"/>
          <w:sz w:val="24"/>
        </w:rPr>
        <w:t> </w:t>
      </w:r>
      <w:r>
        <w:rPr>
          <w:sz w:val="24"/>
        </w:rPr>
        <w:t>z</w:t>
      </w:r>
      <w:r>
        <w:rPr>
          <w:spacing w:val="-19"/>
          <w:sz w:val="24"/>
        </w:rPr>
        <w:t> </w:t>
      </w:r>
      <w:r>
        <w:rPr>
          <w:sz w:val="24"/>
        </w:rPr>
        <w:t>trzema</w:t>
      </w:r>
      <w:r>
        <w:rPr>
          <w:spacing w:val="-18"/>
          <w:sz w:val="24"/>
        </w:rPr>
        <w:t> </w:t>
      </w:r>
      <w:r>
        <w:rPr>
          <w:sz w:val="24"/>
        </w:rPr>
        <w:t>pasami</w:t>
      </w:r>
      <w:r>
        <w:rPr>
          <w:spacing w:val="-19"/>
          <w:sz w:val="24"/>
        </w:rPr>
        <w:t> </w:t>
      </w:r>
      <w:r>
        <w:rPr>
          <w:sz w:val="24"/>
        </w:rPr>
        <w:t>ruchu</w:t>
      </w:r>
      <w:r>
        <w:rPr>
          <w:spacing w:val="-19"/>
          <w:sz w:val="24"/>
        </w:rPr>
        <w:t> </w:t>
      </w:r>
      <w:r>
        <w:rPr>
          <w:sz w:val="24"/>
        </w:rPr>
        <w:t>wskazujący</w:t>
      </w:r>
    </w:p>
    <w:p>
      <w:pPr>
        <w:pStyle w:val="BodyText"/>
        <w:spacing w:before="137"/>
        <w:ind w:left="1518"/>
        <w:jc w:val="both"/>
      </w:pPr>
      <w:r>
        <w:rPr/>
        <w:drawing>
          <wp:anchor distT="0" distB="0" distL="0" distR="0" allowOverlap="1" layoutInCell="1" locked="0" behindDoc="0" simplePos="0" relativeHeight="1144">
            <wp:simplePos x="0" y="0"/>
            <wp:positionH relativeFrom="page">
              <wp:posOffset>2030730</wp:posOffset>
            </wp:positionH>
            <wp:positionV relativeFrom="paragraph">
              <wp:posOffset>349860</wp:posOffset>
            </wp:positionV>
            <wp:extent cx="3229190" cy="984884"/>
            <wp:effectExtent l="0" t="0" r="0" b="0"/>
            <wp:wrapTopAndBottom/>
            <wp:docPr id="15" name="image8.png" descr=""/>
            <wp:cNvGraphicFramePr>
              <a:graphicFrameLocks noChangeAspect="1"/>
            </wp:cNvGraphicFramePr>
            <a:graphic>
              <a:graphicData uri="http://schemas.openxmlformats.org/drawingml/2006/picture">
                <pic:pic>
                  <pic:nvPicPr>
                    <pic:cNvPr id="16" name="image8.png"/>
                    <pic:cNvPicPr/>
                  </pic:nvPicPr>
                  <pic:blipFill>
                    <a:blip r:embed="rId13" cstate="print"/>
                    <a:stretch>
                      <a:fillRect/>
                    </a:stretch>
                  </pic:blipFill>
                  <pic:spPr>
                    <a:xfrm>
                      <a:off x="0" y="0"/>
                      <a:ext cx="3229190" cy="984884"/>
                    </a:xfrm>
                    <a:prstGeom prst="rect">
                      <a:avLst/>
                    </a:prstGeom>
                  </pic:spPr>
                </pic:pic>
              </a:graphicData>
            </a:graphic>
          </wp:anchor>
        </w:drawing>
      </w:r>
      <w:r>
        <w:rPr/>
        <w:t>dojazd do drogi ekspresowej</w:t>
      </w:r>
    </w:p>
    <w:p>
      <w:pPr>
        <w:pStyle w:val="ListParagraph"/>
        <w:numPr>
          <w:ilvl w:val="0"/>
          <w:numId w:val="4"/>
        </w:numPr>
        <w:tabs>
          <w:tab w:pos="1765" w:val="left" w:leader="none"/>
        </w:tabs>
        <w:spacing w:line="240" w:lineRule="auto" w:before="97" w:after="0"/>
        <w:ind w:left="1764" w:right="0" w:hanging="246"/>
        <w:jc w:val="both"/>
        <w:rPr>
          <w:sz w:val="24"/>
        </w:rPr>
      </w:pPr>
      <w:r>
        <w:rPr>
          <w:sz w:val="24"/>
        </w:rPr>
        <w:t>E-2d</w:t>
      </w:r>
      <w:r>
        <w:rPr>
          <w:spacing w:val="23"/>
          <w:sz w:val="24"/>
        </w:rPr>
        <w:t> </w:t>
      </w:r>
      <w:r>
        <w:rPr>
          <w:sz w:val="24"/>
        </w:rPr>
        <w:t>ze</w:t>
      </w:r>
      <w:r>
        <w:rPr>
          <w:spacing w:val="22"/>
          <w:sz w:val="24"/>
        </w:rPr>
        <w:t> </w:t>
      </w:r>
      <w:r>
        <w:rPr>
          <w:sz w:val="24"/>
        </w:rPr>
        <w:t>znakiem</w:t>
      </w:r>
      <w:r>
        <w:rPr>
          <w:spacing w:val="23"/>
          <w:sz w:val="24"/>
        </w:rPr>
        <w:t> </w:t>
      </w:r>
      <w:r>
        <w:rPr>
          <w:sz w:val="24"/>
        </w:rPr>
        <w:t>E-20a</w:t>
      </w:r>
      <w:r>
        <w:rPr>
          <w:spacing w:val="23"/>
          <w:sz w:val="24"/>
        </w:rPr>
        <w:t> </w:t>
      </w:r>
      <w:r>
        <w:rPr>
          <w:sz w:val="24"/>
        </w:rPr>
        <w:t>na</w:t>
      </w:r>
      <w:r>
        <w:rPr>
          <w:spacing w:val="22"/>
          <w:sz w:val="24"/>
        </w:rPr>
        <w:t> </w:t>
      </w:r>
      <w:r>
        <w:rPr>
          <w:sz w:val="24"/>
        </w:rPr>
        <w:t>drodze</w:t>
      </w:r>
      <w:r>
        <w:rPr>
          <w:spacing w:val="22"/>
          <w:sz w:val="24"/>
        </w:rPr>
        <w:t> </w:t>
      </w:r>
      <w:r>
        <w:rPr>
          <w:sz w:val="24"/>
        </w:rPr>
        <w:t>ekspresowej</w:t>
      </w:r>
      <w:r>
        <w:rPr>
          <w:spacing w:val="24"/>
          <w:sz w:val="24"/>
        </w:rPr>
        <w:t> </w:t>
      </w:r>
      <w:r>
        <w:rPr>
          <w:sz w:val="24"/>
        </w:rPr>
        <w:t>z</w:t>
      </w:r>
      <w:r>
        <w:rPr>
          <w:spacing w:val="22"/>
          <w:sz w:val="24"/>
        </w:rPr>
        <w:t> </w:t>
      </w:r>
      <w:r>
        <w:rPr>
          <w:sz w:val="24"/>
        </w:rPr>
        <w:t>dwoma</w:t>
      </w:r>
      <w:r>
        <w:rPr>
          <w:spacing w:val="22"/>
          <w:sz w:val="24"/>
        </w:rPr>
        <w:t> </w:t>
      </w:r>
      <w:r>
        <w:rPr>
          <w:sz w:val="24"/>
        </w:rPr>
        <w:t>pasami</w:t>
      </w:r>
      <w:r>
        <w:rPr>
          <w:spacing w:val="22"/>
          <w:sz w:val="24"/>
        </w:rPr>
        <w:t> </w:t>
      </w:r>
      <w:r>
        <w:rPr>
          <w:sz w:val="24"/>
        </w:rPr>
        <w:t>ruchu</w:t>
      </w:r>
    </w:p>
    <w:p>
      <w:pPr>
        <w:pStyle w:val="BodyText"/>
        <w:spacing w:before="138"/>
        <w:ind w:left="1518"/>
        <w:jc w:val="both"/>
      </w:pPr>
      <w:r>
        <w:rPr/>
        <w:t>wskazujący dojazd do drogi wojewódzkiej”,</w:t>
      </w:r>
    </w:p>
    <w:p>
      <w:pPr>
        <w:pStyle w:val="ListParagraph"/>
        <w:numPr>
          <w:ilvl w:val="1"/>
          <w:numId w:val="2"/>
        </w:numPr>
        <w:tabs>
          <w:tab w:pos="1301" w:val="left" w:leader="none"/>
        </w:tabs>
        <w:spacing w:line="240" w:lineRule="auto" w:before="138" w:after="0"/>
        <w:ind w:left="1301" w:right="0" w:hanging="180"/>
        <w:jc w:val="left"/>
        <w:rPr>
          <w:sz w:val="24"/>
        </w:rPr>
      </w:pPr>
      <w:r>
        <w:rPr>
          <w:sz w:val="24"/>
        </w:rPr>
        <w:t>–  skreśla się akapit</w:t>
      </w:r>
      <w:r>
        <w:rPr>
          <w:spacing w:val="-30"/>
          <w:sz w:val="24"/>
        </w:rPr>
        <w:t> </w:t>
      </w:r>
      <w:r>
        <w:rPr>
          <w:sz w:val="24"/>
        </w:rPr>
        <w:t>dwunasty,</w:t>
      </w:r>
    </w:p>
    <w:p>
      <w:pPr>
        <w:pStyle w:val="ListParagraph"/>
        <w:numPr>
          <w:ilvl w:val="1"/>
          <w:numId w:val="2"/>
        </w:numPr>
        <w:tabs>
          <w:tab w:pos="1301" w:val="left" w:leader="none"/>
        </w:tabs>
        <w:spacing w:line="240" w:lineRule="auto" w:before="138" w:after="0"/>
        <w:ind w:left="1301" w:right="0" w:hanging="180"/>
        <w:jc w:val="left"/>
        <w:rPr>
          <w:sz w:val="24"/>
        </w:rPr>
      </w:pPr>
      <w:r>
        <w:rPr>
          <w:sz w:val="24"/>
        </w:rPr>
        <w:t>–  akapit trzynasty otrzymuje</w:t>
      </w:r>
      <w:r>
        <w:rPr>
          <w:spacing w:val="-37"/>
          <w:sz w:val="24"/>
        </w:rPr>
        <w:t> </w:t>
      </w:r>
      <w:r>
        <w:rPr>
          <w:sz w:val="24"/>
        </w:rPr>
        <w:t>brzmienie:</w:t>
      </w:r>
    </w:p>
    <w:p>
      <w:pPr>
        <w:pStyle w:val="BodyText"/>
        <w:spacing w:line="360" w:lineRule="auto" w:before="138"/>
        <w:ind w:left="1518" w:right="531"/>
        <w:jc w:val="both"/>
      </w:pPr>
      <w:r>
        <w:rPr/>
        <w:t>„Na drogowskazie E-2b umieszcza się po jednej strzałce dla każdego kierunku</w:t>
      </w:r>
      <w:r>
        <w:rPr>
          <w:spacing w:val="-15"/>
        </w:rPr>
        <w:t> </w:t>
      </w:r>
      <w:r>
        <w:rPr/>
        <w:t>ruchu</w:t>
      </w:r>
      <w:r>
        <w:rPr>
          <w:spacing w:val="-15"/>
        </w:rPr>
        <w:t> </w:t>
      </w:r>
      <w:r>
        <w:rPr/>
        <w:t>(rys.</w:t>
      </w:r>
      <w:r>
        <w:rPr>
          <w:spacing w:val="-15"/>
        </w:rPr>
        <w:t> </w:t>
      </w:r>
      <w:r>
        <w:rPr/>
        <w:t>6.3.2.8a).</w:t>
      </w:r>
      <w:r>
        <w:rPr>
          <w:spacing w:val="-15"/>
        </w:rPr>
        <w:t> </w:t>
      </w:r>
      <w:r>
        <w:rPr/>
        <w:t>W</w:t>
      </w:r>
      <w:r>
        <w:rPr>
          <w:spacing w:val="-15"/>
        </w:rPr>
        <w:t> </w:t>
      </w:r>
      <w:r>
        <w:rPr/>
        <w:t>przypadku</w:t>
      </w:r>
      <w:r>
        <w:rPr>
          <w:spacing w:val="-15"/>
        </w:rPr>
        <w:t> </w:t>
      </w:r>
      <w:r>
        <w:rPr/>
        <w:t>dróg</w:t>
      </w:r>
      <w:r>
        <w:rPr>
          <w:spacing w:val="-15"/>
        </w:rPr>
        <w:t> </w:t>
      </w:r>
      <w:r>
        <w:rPr/>
        <w:t>o</w:t>
      </w:r>
      <w:r>
        <w:rPr>
          <w:spacing w:val="-15"/>
        </w:rPr>
        <w:t> </w:t>
      </w:r>
      <w:r>
        <w:rPr/>
        <w:t>dwóch</w:t>
      </w:r>
      <w:r>
        <w:rPr>
          <w:spacing w:val="-15"/>
        </w:rPr>
        <w:t> </w:t>
      </w:r>
      <w:r>
        <w:rPr/>
        <w:t>lub</w:t>
      </w:r>
      <w:r>
        <w:rPr>
          <w:spacing w:val="-15"/>
        </w:rPr>
        <w:t> </w:t>
      </w:r>
      <w:r>
        <w:rPr/>
        <w:t>więcej</w:t>
      </w:r>
      <w:r>
        <w:rPr>
          <w:spacing w:val="-14"/>
        </w:rPr>
        <w:t> </w:t>
      </w:r>
      <w:r>
        <w:rPr/>
        <w:t>pasach ruchu, strzałki umieszcza  się  po  obydwu  stronach  nazw  miejscowości  w kierunku na wprost oraz tylko po prawej stronie nazwy miejscowości, do której droga odgałęzia się (rys. 6.3.2.8b). Na drogowskazie E-2d strzałkę umieszcza się tylko po prawej stronie nazwy miejscowości, do której droga odgałęzia się. Dodatkowo pod nazwami miejscowości w osi każdego pasa ruchu</w:t>
      </w:r>
      <w:r>
        <w:rPr>
          <w:spacing w:val="-13"/>
        </w:rPr>
        <w:t> </w:t>
      </w:r>
      <w:r>
        <w:rPr/>
        <w:t>umieszcza</w:t>
      </w:r>
      <w:r>
        <w:rPr>
          <w:spacing w:val="-13"/>
        </w:rPr>
        <w:t> </w:t>
      </w:r>
      <w:r>
        <w:rPr/>
        <w:t>się</w:t>
      </w:r>
      <w:r>
        <w:rPr>
          <w:spacing w:val="-12"/>
        </w:rPr>
        <w:t> </w:t>
      </w:r>
      <w:r>
        <w:rPr/>
        <w:t>strzałki</w:t>
      </w:r>
      <w:r>
        <w:rPr>
          <w:spacing w:val="-12"/>
        </w:rPr>
        <w:t> </w:t>
      </w:r>
      <w:r>
        <w:rPr/>
        <w:t>odpowiadające</w:t>
      </w:r>
      <w:r>
        <w:rPr>
          <w:spacing w:val="-11"/>
        </w:rPr>
        <w:t> </w:t>
      </w:r>
      <w:r>
        <w:rPr/>
        <w:t>kierunkom</w:t>
      </w:r>
      <w:r>
        <w:rPr>
          <w:spacing w:val="-13"/>
        </w:rPr>
        <w:t> </w:t>
      </w:r>
      <w:r>
        <w:rPr/>
        <w:t>ruchu</w:t>
      </w:r>
      <w:r>
        <w:rPr>
          <w:spacing w:val="-13"/>
        </w:rPr>
        <w:t> </w:t>
      </w:r>
      <w:r>
        <w:rPr/>
        <w:t>na</w:t>
      </w:r>
      <w:r>
        <w:rPr>
          <w:spacing w:val="-13"/>
        </w:rPr>
        <w:t> </w:t>
      </w:r>
      <w:r>
        <w:rPr/>
        <w:t>tych</w:t>
      </w:r>
      <w:r>
        <w:rPr>
          <w:spacing w:val="-12"/>
        </w:rPr>
        <w:t> </w:t>
      </w:r>
      <w:r>
        <w:rPr/>
        <w:t>pasach (rys. od 6.3.2.8c do</w:t>
      </w:r>
      <w:r>
        <w:rPr>
          <w:spacing w:val="-2"/>
        </w:rPr>
        <w:t> </w:t>
      </w:r>
      <w:r>
        <w:rPr/>
        <w:t>6.3.2.8e).”,</w:t>
      </w:r>
    </w:p>
    <w:p>
      <w:pPr>
        <w:pStyle w:val="ListParagraph"/>
        <w:numPr>
          <w:ilvl w:val="1"/>
          <w:numId w:val="2"/>
        </w:numPr>
        <w:tabs>
          <w:tab w:pos="1301" w:val="left" w:leader="none"/>
        </w:tabs>
        <w:spacing w:line="240" w:lineRule="auto" w:before="5" w:after="0"/>
        <w:ind w:left="1301" w:right="0" w:hanging="180"/>
        <w:jc w:val="left"/>
        <w:rPr>
          <w:sz w:val="24"/>
        </w:rPr>
      </w:pPr>
      <w:r>
        <w:rPr>
          <w:sz w:val="24"/>
        </w:rPr>
        <w:t>–  skreśla się akapit</w:t>
      </w:r>
      <w:r>
        <w:rPr>
          <w:spacing w:val="-41"/>
          <w:sz w:val="24"/>
        </w:rPr>
        <w:t> </w:t>
      </w:r>
      <w:r>
        <w:rPr>
          <w:sz w:val="24"/>
        </w:rPr>
        <w:t>czternasty,</w:t>
      </w:r>
    </w:p>
    <w:p>
      <w:pPr>
        <w:pStyle w:val="ListParagraph"/>
        <w:numPr>
          <w:ilvl w:val="1"/>
          <w:numId w:val="2"/>
        </w:numPr>
        <w:tabs>
          <w:tab w:pos="1301" w:val="left" w:leader="none"/>
        </w:tabs>
        <w:spacing w:line="240" w:lineRule="auto" w:before="137" w:after="0"/>
        <w:ind w:left="1301" w:right="0" w:hanging="180"/>
        <w:jc w:val="left"/>
        <w:rPr>
          <w:sz w:val="24"/>
        </w:rPr>
      </w:pPr>
      <w:r>
        <w:rPr>
          <w:sz w:val="24"/>
        </w:rPr>
        <w:t>–  akapit piętnasty otrzymuje</w:t>
      </w:r>
      <w:r>
        <w:rPr>
          <w:spacing w:val="-29"/>
          <w:sz w:val="24"/>
        </w:rPr>
        <w:t> </w:t>
      </w:r>
      <w:r>
        <w:rPr>
          <w:sz w:val="24"/>
        </w:rPr>
        <w:t>brzmienie:</w:t>
      </w:r>
    </w:p>
    <w:p>
      <w:pPr>
        <w:pStyle w:val="BodyText"/>
        <w:spacing w:line="360" w:lineRule="auto" w:before="137"/>
        <w:ind w:left="1517" w:right="531"/>
        <w:jc w:val="both"/>
      </w:pPr>
      <w:r>
        <w:rPr/>
        <w:t>„Poszczególne</w:t>
      </w:r>
      <w:r>
        <w:rPr>
          <w:spacing w:val="-13"/>
        </w:rPr>
        <w:t> </w:t>
      </w:r>
      <w:r>
        <w:rPr/>
        <w:t>człony</w:t>
      </w:r>
      <w:r>
        <w:rPr>
          <w:spacing w:val="-15"/>
        </w:rPr>
        <w:t> </w:t>
      </w:r>
      <w:r>
        <w:rPr/>
        <w:t>drogowskazu</w:t>
      </w:r>
      <w:r>
        <w:rPr>
          <w:spacing w:val="-16"/>
        </w:rPr>
        <w:t> </w:t>
      </w:r>
      <w:r>
        <w:rPr/>
        <w:t>E-2b</w:t>
      </w:r>
      <w:r>
        <w:rPr>
          <w:spacing w:val="-15"/>
        </w:rPr>
        <w:t> </w:t>
      </w:r>
      <w:r>
        <w:rPr/>
        <w:t>mogą</w:t>
      </w:r>
      <w:r>
        <w:rPr>
          <w:spacing w:val="-15"/>
        </w:rPr>
        <w:t> </w:t>
      </w:r>
      <w:r>
        <w:rPr/>
        <w:t>być</w:t>
      </w:r>
      <w:r>
        <w:rPr>
          <w:spacing w:val="-15"/>
        </w:rPr>
        <w:t> </w:t>
      </w:r>
      <w:r>
        <w:rPr/>
        <w:t>różnych</w:t>
      </w:r>
      <w:r>
        <w:rPr>
          <w:spacing w:val="-15"/>
        </w:rPr>
        <w:t> </w:t>
      </w:r>
      <w:r>
        <w:rPr/>
        <w:t>wymiarów</w:t>
      </w:r>
      <w:r>
        <w:rPr>
          <w:spacing w:val="-15"/>
        </w:rPr>
        <w:t> </w:t>
      </w:r>
      <w:r>
        <w:rPr/>
        <w:t>oraz mogą stykać się ze sobą lub nie. Poszczególne człony drogowskazu E-2d powinny być takiej samej wysokości oraz powinny stykać się ze</w:t>
      </w:r>
      <w:r>
        <w:rPr>
          <w:spacing w:val="-17"/>
        </w:rPr>
        <w:t> </w:t>
      </w:r>
      <w:r>
        <w:rPr/>
        <w:t>sobą.”,</w:t>
      </w:r>
    </w:p>
    <w:p>
      <w:pPr>
        <w:pStyle w:val="BodyText"/>
        <w:tabs>
          <w:tab w:pos="1121" w:val="left" w:leader="none"/>
        </w:tabs>
        <w:spacing w:before="5"/>
        <w:ind w:left="725"/>
      </w:pPr>
      <w:r>
        <w:rPr/>
        <w:t>–</w:t>
        <w:tab/>
        <w:t>w pkt</w:t>
      </w:r>
      <w:r>
        <w:rPr>
          <w:spacing w:val="-2"/>
        </w:rPr>
        <w:t> </w:t>
      </w:r>
      <w:r>
        <w:rPr/>
        <w:t>6.3.2.3:</w:t>
      </w:r>
    </w:p>
    <w:p>
      <w:pPr>
        <w:pStyle w:val="ListParagraph"/>
        <w:numPr>
          <w:ilvl w:val="1"/>
          <w:numId w:val="2"/>
        </w:numPr>
        <w:tabs>
          <w:tab w:pos="1301" w:val="left" w:leader="none"/>
        </w:tabs>
        <w:spacing w:line="240" w:lineRule="auto" w:before="138" w:after="0"/>
        <w:ind w:left="1301" w:right="0" w:hanging="180"/>
        <w:jc w:val="left"/>
        <w:rPr>
          <w:sz w:val="24"/>
        </w:rPr>
      </w:pPr>
      <w:r>
        <w:rPr>
          <w:sz w:val="24"/>
        </w:rPr>
        <w:t>–  w akapicie trzecim tiret pierwsze otrzymuje</w:t>
      </w:r>
      <w:r>
        <w:rPr>
          <w:spacing w:val="-39"/>
          <w:sz w:val="24"/>
        </w:rPr>
        <w:t> </w:t>
      </w:r>
      <w:r>
        <w:rPr>
          <w:sz w:val="24"/>
        </w:rPr>
        <w:t>brzmienie:</w:t>
      </w:r>
    </w:p>
    <w:p>
      <w:pPr>
        <w:pStyle w:val="BodyText"/>
        <w:spacing w:before="138"/>
        <w:ind w:left="1518"/>
        <w:jc w:val="both"/>
      </w:pPr>
      <w:r>
        <w:rPr/>
        <w:t>„–  na wyjazdach z dróg, w tym w ramach węzłów, chyba że ukształtowanie</w:t>
      </w:r>
    </w:p>
    <w:p>
      <w:pPr>
        <w:pStyle w:val="BodyText"/>
        <w:spacing w:before="138"/>
        <w:ind w:left="1915"/>
      </w:pPr>
      <w:r>
        <w:rPr/>
        <w:t>wyjazdów nie pozwala na ich zastosowanie;”,</w:t>
      </w:r>
    </w:p>
    <w:p>
      <w:pPr>
        <w:pStyle w:val="ListParagraph"/>
        <w:numPr>
          <w:ilvl w:val="1"/>
          <w:numId w:val="2"/>
        </w:numPr>
        <w:tabs>
          <w:tab w:pos="1301" w:val="left" w:leader="none"/>
        </w:tabs>
        <w:spacing w:line="240" w:lineRule="auto" w:before="138" w:after="0"/>
        <w:ind w:left="1301" w:right="0" w:hanging="180"/>
        <w:jc w:val="left"/>
        <w:rPr>
          <w:sz w:val="24"/>
        </w:rPr>
      </w:pPr>
      <w:r>
        <w:rPr>
          <w:sz w:val="24"/>
        </w:rPr>
        <w:t>–  dodaje się akapit piąty i rysunek 6.3.2.10a w</w:t>
      </w:r>
      <w:r>
        <w:rPr>
          <w:spacing w:val="-32"/>
          <w:sz w:val="24"/>
        </w:rPr>
        <w:t> </w:t>
      </w:r>
      <w:r>
        <w:rPr>
          <w:sz w:val="24"/>
        </w:rPr>
        <w:t>brzmieniu:</w:t>
      </w:r>
    </w:p>
    <w:p>
      <w:pPr>
        <w:spacing w:after="0" w:line="240" w:lineRule="auto"/>
        <w:jc w:val="left"/>
        <w:rPr>
          <w:sz w:val="24"/>
        </w:rPr>
        <w:sectPr>
          <w:pgSz w:w="11910" w:h="16840"/>
          <w:pgMar w:header="719" w:footer="0" w:top="980" w:bottom="280" w:left="1680" w:right="900"/>
        </w:sectPr>
      </w:pPr>
    </w:p>
    <w:p>
      <w:pPr>
        <w:pStyle w:val="BodyText"/>
        <w:rPr>
          <w:sz w:val="20"/>
        </w:rPr>
      </w:pPr>
    </w:p>
    <w:p>
      <w:pPr>
        <w:pStyle w:val="BodyText"/>
        <w:spacing w:before="2"/>
        <w:rPr>
          <w:sz w:val="22"/>
        </w:rPr>
      </w:pPr>
    </w:p>
    <w:p>
      <w:pPr>
        <w:pStyle w:val="BodyText"/>
        <w:spacing w:line="360" w:lineRule="auto" w:before="90"/>
        <w:ind w:left="1518"/>
      </w:pPr>
      <w:r>
        <w:rPr/>
        <w:t>„Drogowskaz E-3 na wyjeździe z autostrady lub drogi ekspresowej umieszcza się łącznie ze znakiem E-20a (rys. 6.3.2.10a).</w:t>
      </w:r>
    </w:p>
    <w:p>
      <w:pPr>
        <w:pStyle w:val="BodyText"/>
        <w:spacing w:before="5"/>
        <w:ind w:left="1518"/>
      </w:pPr>
      <w:r>
        <w:rPr/>
        <w:drawing>
          <wp:anchor distT="0" distB="0" distL="0" distR="0" allowOverlap="1" layoutInCell="1" locked="0" behindDoc="0" simplePos="0" relativeHeight="1168">
            <wp:simplePos x="0" y="0"/>
            <wp:positionH relativeFrom="page">
              <wp:posOffset>2030730</wp:posOffset>
            </wp:positionH>
            <wp:positionV relativeFrom="paragraph">
              <wp:posOffset>266041</wp:posOffset>
            </wp:positionV>
            <wp:extent cx="3613265" cy="779526"/>
            <wp:effectExtent l="0" t="0" r="0" b="0"/>
            <wp:wrapTopAndBottom/>
            <wp:docPr id="17" name="image9.png" descr=""/>
            <wp:cNvGraphicFramePr>
              <a:graphicFrameLocks noChangeAspect="1"/>
            </wp:cNvGraphicFramePr>
            <a:graphic>
              <a:graphicData uri="http://schemas.openxmlformats.org/drawingml/2006/picture">
                <pic:pic>
                  <pic:nvPicPr>
                    <pic:cNvPr id="18" name="image9.png"/>
                    <pic:cNvPicPr/>
                  </pic:nvPicPr>
                  <pic:blipFill>
                    <a:blip r:embed="rId14" cstate="print"/>
                    <a:stretch>
                      <a:fillRect/>
                    </a:stretch>
                  </pic:blipFill>
                  <pic:spPr>
                    <a:xfrm>
                      <a:off x="0" y="0"/>
                      <a:ext cx="3613265" cy="779526"/>
                    </a:xfrm>
                    <a:prstGeom prst="rect">
                      <a:avLst/>
                    </a:prstGeom>
                  </pic:spPr>
                </pic:pic>
              </a:graphicData>
            </a:graphic>
          </wp:anchor>
        </w:drawing>
      </w:r>
      <w:r>
        <w:rPr/>
        <w:t>Rys. 6.3.2.10a. Drogowskaz E-3 ze znakiem E-20a:</w:t>
      </w:r>
    </w:p>
    <w:p>
      <w:pPr>
        <w:pStyle w:val="ListParagraph"/>
        <w:numPr>
          <w:ilvl w:val="0"/>
          <w:numId w:val="5"/>
        </w:numPr>
        <w:tabs>
          <w:tab w:pos="1765" w:val="left" w:leader="none"/>
        </w:tabs>
        <w:spacing w:line="240" w:lineRule="auto" w:before="111" w:after="138"/>
        <w:ind w:left="1764" w:right="0" w:hanging="246"/>
        <w:jc w:val="left"/>
        <w:rPr>
          <w:sz w:val="24"/>
        </w:rPr>
      </w:pPr>
      <w:r>
        <w:rPr>
          <w:sz w:val="24"/>
        </w:rPr>
        <w:t>na wyjeździe z autostrady prowadzącym na drogę</w:t>
      </w:r>
      <w:r>
        <w:rPr>
          <w:spacing w:val="-12"/>
          <w:sz w:val="24"/>
        </w:rPr>
        <w:t> </w:t>
      </w:r>
      <w:r>
        <w:rPr>
          <w:sz w:val="24"/>
        </w:rPr>
        <w:t>ekspresową</w:t>
      </w:r>
    </w:p>
    <w:p>
      <w:pPr>
        <w:pStyle w:val="BodyText"/>
        <w:ind w:left="1518"/>
        <w:rPr>
          <w:sz w:val="20"/>
        </w:rPr>
      </w:pPr>
      <w:r>
        <w:rPr>
          <w:sz w:val="20"/>
        </w:rPr>
        <w:drawing>
          <wp:inline distT="0" distB="0" distL="0" distR="0">
            <wp:extent cx="2897065" cy="1357884"/>
            <wp:effectExtent l="0" t="0" r="0" b="0"/>
            <wp:docPr id="19" name="image10.png" descr=""/>
            <wp:cNvGraphicFramePr>
              <a:graphicFrameLocks noChangeAspect="1"/>
            </wp:cNvGraphicFramePr>
            <a:graphic>
              <a:graphicData uri="http://schemas.openxmlformats.org/drawingml/2006/picture">
                <pic:pic>
                  <pic:nvPicPr>
                    <pic:cNvPr id="20" name="image10.png"/>
                    <pic:cNvPicPr/>
                  </pic:nvPicPr>
                  <pic:blipFill>
                    <a:blip r:embed="rId15" cstate="print"/>
                    <a:stretch>
                      <a:fillRect/>
                    </a:stretch>
                  </pic:blipFill>
                  <pic:spPr>
                    <a:xfrm>
                      <a:off x="0" y="0"/>
                      <a:ext cx="2897065" cy="1357884"/>
                    </a:xfrm>
                    <a:prstGeom prst="rect">
                      <a:avLst/>
                    </a:prstGeom>
                  </pic:spPr>
                </pic:pic>
              </a:graphicData>
            </a:graphic>
          </wp:inline>
        </w:drawing>
      </w:r>
      <w:r>
        <w:rPr>
          <w:sz w:val="20"/>
        </w:rPr>
      </w:r>
    </w:p>
    <w:p>
      <w:pPr>
        <w:pStyle w:val="ListParagraph"/>
        <w:numPr>
          <w:ilvl w:val="0"/>
          <w:numId w:val="5"/>
        </w:numPr>
        <w:tabs>
          <w:tab w:pos="1778" w:val="left" w:leader="none"/>
        </w:tabs>
        <w:spacing w:line="240" w:lineRule="auto" w:before="129" w:after="0"/>
        <w:ind w:left="1777" w:right="0" w:hanging="259"/>
        <w:jc w:val="left"/>
        <w:rPr>
          <w:sz w:val="24"/>
        </w:rPr>
      </w:pPr>
      <w:r>
        <w:rPr>
          <w:sz w:val="24"/>
        </w:rPr>
        <w:t>na wyjeździe z drogi ekspresowej prowadzącym na drogę</w:t>
      </w:r>
      <w:r>
        <w:rPr>
          <w:spacing w:val="-13"/>
          <w:sz w:val="24"/>
        </w:rPr>
        <w:t> </w:t>
      </w:r>
      <w:r>
        <w:rPr>
          <w:sz w:val="24"/>
        </w:rPr>
        <w:t>wojewódzką”,</w:t>
      </w:r>
    </w:p>
    <w:p>
      <w:pPr>
        <w:pStyle w:val="ListParagraph"/>
        <w:numPr>
          <w:ilvl w:val="0"/>
          <w:numId w:val="2"/>
        </w:numPr>
        <w:tabs>
          <w:tab w:pos="1121" w:val="left" w:leader="none"/>
          <w:tab w:pos="1122" w:val="left" w:leader="none"/>
        </w:tabs>
        <w:spacing w:line="240" w:lineRule="auto" w:before="137" w:after="0"/>
        <w:ind w:left="1122" w:right="0" w:hanging="397"/>
        <w:jc w:val="left"/>
        <w:rPr>
          <w:sz w:val="24"/>
        </w:rPr>
      </w:pPr>
      <w:r>
        <w:rPr>
          <w:sz w:val="24"/>
        </w:rPr>
        <w:t>w pkt 6.3.5 akapit czwarty otrzymuje</w:t>
      </w:r>
      <w:r>
        <w:rPr>
          <w:spacing w:val="-11"/>
          <w:sz w:val="24"/>
        </w:rPr>
        <w:t> </w:t>
      </w:r>
      <w:r>
        <w:rPr>
          <w:sz w:val="24"/>
        </w:rPr>
        <w:t>brzmienie:</w:t>
      </w:r>
    </w:p>
    <w:p>
      <w:pPr>
        <w:pStyle w:val="BodyText"/>
        <w:spacing w:line="360" w:lineRule="auto" w:before="137"/>
        <w:ind w:left="1121" w:right="112"/>
        <w:jc w:val="both"/>
      </w:pPr>
      <w:r>
        <w:rPr/>
        <w:t>„Tablice kierunkowe stosuje się poza obszarem zabudowanym na drogach krajowych, jeżeli nie zastosowano tablicy szlaku drogowego (znak E-14), wojewódzkich i powiatowych.”,</w:t>
      </w:r>
    </w:p>
    <w:p>
      <w:pPr>
        <w:pStyle w:val="ListParagraph"/>
        <w:numPr>
          <w:ilvl w:val="0"/>
          <w:numId w:val="2"/>
        </w:numPr>
        <w:tabs>
          <w:tab w:pos="1121" w:val="left" w:leader="none"/>
          <w:tab w:pos="1122" w:val="left" w:leader="none"/>
        </w:tabs>
        <w:spacing w:line="240" w:lineRule="auto" w:before="4" w:after="0"/>
        <w:ind w:left="1122" w:right="0" w:hanging="397"/>
        <w:jc w:val="left"/>
        <w:rPr>
          <w:sz w:val="24"/>
        </w:rPr>
      </w:pPr>
      <w:r>
        <w:rPr>
          <w:sz w:val="24"/>
        </w:rPr>
        <w:t>w pkt 6.3.6.1 akapit czwarty otrzymuje</w:t>
      </w:r>
      <w:r>
        <w:rPr>
          <w:spacing w:val="-11"/>
          <w:sz w:val="24"/>
        </w:rPr>
        <w:t> </w:t>
      </w:r>
      <w:r>
        <w:rPr>
          <w:sz w:val="24"/>
        </w:rPr>
        <w:t>brzmienie:</w:t>
      </w:r>
    </w:p>
    <w:p>
      <w:pPr>
        <w:pStyle w:val="BodyText"/>
        <w:spacing w:line="360" w:lineRule="auto" w:before="137"/>
        <w:ind w:left="1121" w:right="112"/>
        <w:jc w:val="both"/>
      </w:pPr>
      <w:r>
        <w:rPr/>
        <w:t>„Znak E-14 na autostradzie ma tło barwy niebieskiej, z wyjątkiem tych części, które oznaczają kierunki lub miejscowości na drodze innej niż autostrada, mających tło barwy zielonej. W pozostałych przypadkach znak E-14 ma tło barwy zielonej z wyjątkiem tych części, które oznaczają kierunki lub miejscowości na autostradzie, mających tło barwy niebieskiej.”,</w:t>
      </w:r>
    </w:p>
    <w:p>
      <w:pPr>
        <w:pStyle w:val="ListParagraph"/>
        <w:numPr>
          <w:ilvl w:val="0"/>
          <w:numId w:val="2"/>
        </w:numPr>
        <w:tabs>
          <w:tab w:pos="1121" w:val="left" w:leader="none"/>
          <w:tab w:pos="1122" w:val="left" w:leader="none"/>
        </w:tabs>
        <w:spacing w:line="240" w:lineRule="auto" w:before="4" w:after="0"/>
        <w:ind w:left="1122" w:right="0" w:hanging="397"/>
        <w:jc w:val="left"/>
        <w:rPr>
          <w:sz w:val="24"/>
        </w:rPr>
      </w:pPr>
      <w:r>
        <w:rPr>
          <w:sz w:val="24"/>
        </w:rPr>
        <w:t>w pkt 6.3.6.2 akapit pierwszy otrzymuje</w:t>
      </w:r>
      <w:r>
        <w:rPr>
          <w:spacing w:val="-9"/>
          <w:sz w:val="24"/>
        </w:rPr>
        <w:t> </w:t>
      </w:r>
      <w:r>
        <w:rPr>
          <w:sz w:val="24"/>
        </w:rPr>
        <w:t>brzmienie:</w:t>
      </w:r>
    </w:p>
    <w:p>
      <w:pPr>
        <w:pStyle w:val="BodyText"/>
        <w:spacing w:line="360" w:lineRule="auto" w:before="137"/>
        <w:ind w:left="1121" w:right="112"/>
        <w:jc w:val="both"/>
      </w:pPr>
      <w:r>
        <w:rPr/>
        <w:t>„W</w:t>
      </w:r>
      <w:r>
        <w:rPr>
          <w:spacing w:val="-17"/>
        </w:rPr>
        <w:t> </w:t>
      </w:r>
      <w:r>
        <w:rPr/>
        <w:t>górnej</w:t>
      </w:r>
      <w:r>
        <w:rPr>
          <w:spacing w:val="-17"/>
        </w:rPr>
        <w:t> </w:t>
      </w:r>
      <w:r>
        <w:rPr/>
        <w:t>części</w:t>
      </w:r>
      <w:r>
        <w:rPr>
          <w:spacing w:val="-16"/>
        </w:rPr>
        <w:t> </w:t>
      </w:r>
      <w:r>
        <w:rPr/>
        <w:t>tablicy</w:t>
      </w:r>
      <w:r>
        <w:rPr>
          <w:spacing w:val="-16"/>
        </w:rPr>
        <w:t> </w:t>
      </w:r>
      <w:r>
        <w:rPr/>
        <w:t>umieszcza</w:t>
      </w:r>
      <w:r>
        <w:rPr>
          <w:spacing w:val="-17"/>
        </w:rPr>
        <w:t> </w:t>
      </w:r>
      <w:r>
        <w:rPr/>
        <w:t>się</w:t>
      </w:r>
      <w:r>
        <w:rPr>
          <w:spacing w:val="-17"/>
        </w:rPr>
        <w:t> </w:t>
      </w:r>
      <w:r>
        <w:rPr/>
        <w:t>znak</w:t>
      </w:r>
      <w:r>
        <w:rPr>
          <w:spacing w:val="-17"/>
        </w:rPr>
        <w:t> </w:t>
      </w:r>
      <w:r>
        <w:rPr/>
        <w:t>z</w:t>
      </w:r>
      <w:r>
        <w:rPr>
          <w:spacing w:val="-17"/>
        </w:rPr>
        <w:t> </w:t>
      </w:r>
      <w:r>
        <w:rPr/>
        <w:t>numerem</w:t>
      </w:r>
      <w:r>
        <w:rPr>
          <w:spacing w:val="-17"/>
        </w:rPr>
        <w:t> </w:t>
      </w:r>
      <w:r>
        <w:rPr/>
        <w:t>drogi</w:t>
      </w:r>
      <w:r>
        <w:rPr>
          <w:spacing w:val="-17"/>
        </w:rPr>
        <w:t> </w:t>
      </w:r>
      <w:r>
        <w:rPr/>
        <w:t>krajowej</w:t>
      </w:r>
      <w:r>
        <w:rPr>
          <w:spacing w:val="-17"/>
        </w:rPr>
        <w:t> </w:t>
      </w:r>
      <w:r>
        <w:rPr/>
        <w:t>oraz</w:t>
      </w:r>
      <w:r>
        <w:rPr>
          <w:spacing w:val="-17"/>
        </w:rPr>
        <w:t> </w:t>
      </w:r>
      <w:r>
        <w:rPr/>
        <w:t>znak z numerem szlaku międzynarodowego, jeżeli droga ma również taki numer. Znak (znaki) z numerem drogi umieszcza się centralnie w stosunku do osi pionowej tablicy. Zasadniczą treść tablicy E-14 stanowi wykaz głównych miejscowości leżących na danym szlaku oraz, wyrażone w kilometrach, odległości do nich. Liczba miejscowości powinna być tak dobrana, aby liczba wierszy podających ich nazwy nie przekraczała czterech na drogach ogólnodostępnych innych niż autostrady, a trzech – na autostradach. Na</w:t>
      </w:r>
      <w:r>
        <w:rPr>
          <w:spacing w:val="24"/>
        </w:rPr>
        <w:t> </w:t>
      </w:r>
      <w:r>
        <w:rPr/>
        <w:t>tablicy</w:t>
      </w:r>
    </w:p>
    <w:p>
      <w:pPr>
        <w:spacing w:after="0" w:line="360" w:lineRule="auto"/>
        <w:jc w:val="both"/>
        <w:sectPr>
          <w:pgSz w:w="11910" w:h="16840"/>
          <w:pgMar w:header="719" w:footer="0" w:top="980" w:bottom="280" w:left="1680" w:right="1320"/>
        </w:sectPr>
      </w:pPr>
    </w:p>
    <w:p>
      <w:pPr>
        <w:pStyle w:val="BodyText"/>
        <w:rPr>
          <w:sz w:val="20"/>
        </w:rPr>
      </w:pPr>
    </w:p>
    <w:p>
      <w:pPr>
        <w:pStyle w:val="BodyText"/>
        <w:spacing w:before="2"/>
        <w:rPr>
          <w:sz w:val="22"/>
        </w:rPr>
      </w:pPr>
    </w:p>
    <w:p>
      <w:pPr>
        <w:pStyle w:val="ListParagraph"/>
        <w:numPr>
          <w:ilvl w:val="1"/>
          <w:numId w:val="6"/>
        </w:numPr>
        <w:tabs>
          <w:tab w:pos="1660" w:val="left" w:leader="none"/>
        </w:tabs>
        <w:spacing w:line="360" w:lineRule="auto" w:before="90" w:after="0"/>
        <w:ind w:left="1121" w:right="112" w:firstLine="0"/>
        <w:jc w:val="both"/>
        <w:rPr>
          <w:sz w:val="24"/>
        </w:rPr>
      </w:pPr>
      <w:r>
        <w:rPr>
          <w:sz w:val="24"/>
        </w:rPr>
        <w:t>na autostradzie lub drodze ekspresowej na pierwszym miejscu umieszcza się symbol i numer najbliższego węzła oraz odległość do niego. Wiersz z numerem najbliższego węzła oraz odległością do niego nie wlicza się do liczby wierszy podających odległość do</w:t>
      </w:r>
      <w:r>
        <w:rPr>
          <w:spacing w:val="-11"/>
          <w:sz w:val="24"/>
        </w:rPr>
        <w:t> </w:t>
      </w:r>
      <w:r>
        <w:rPr>
          <w:sz w:val="24"/>
        </w:rPr>
        <w:t>miejscowości.”,</w:t>
      </w:r>
    </w:p>
    <w:p>
      <w:pPr>
        <w:pStyle w:val="BodyText"/>
        <w:tabs>
          <w:tab w:pos="1121" w:val="left" w:leader="none"/>
        </w:tabs>
        <w:spacing w:before="5"/>
        <w:ind w:left="725"/>
      </w:pPr>
      <w:r>
        <w:rPr/>
        <w:t>–</w:t>
        <w:tab/>
        <w:t>w pkt</w:t>
      </w:r>
      <w:r>
        <w:rPr>
          <w:spacing w:val="-2"/>
        </w:rPr>
        <w:t> </w:t>
      </w:r>
      <w:r>
        <w:rPr/>
        <w:t>6.3.6.4:</w:t>
      </w:r>
    </w:p>
    <w:p>
      <w:pPr>
        <w:pStyle w:val="ListParagraph"/>
        <w:numPr>
          <w:ilvl w:val="1"/>
          <w:numId w:val="2"/>
        </w:numPr>
        <w:tabs>
          <w:tab w:pos="1301" w:val="left" w:leader="none"/>
        </w:tabs>
        <w:spacing w:line="240" w:lineRule="auto" w:before="138" w:after="0"/>
        <w:ind w:left="1301" w:right="0" w:hanging="180"/>
        <w:jc w:val="both"/>
        <w:rPr>
          <w:sz w:val="24"/>
        </w:rPr>
      </w:pPr>
      <w:r>
        <w:rPr>
          <w:sz w:val="24"/>
        </w:rPr>
        <w:t>–  akapit drugi otrzymuje</w:t>
      </w:r>
      <w:r>
        <w:rPr>
          <w:spacing w:val="-30"/>
          <w:sz w:val="24"/>
        </w:rPr>
        <w:t> </w:t>
      </w:r>
      <w:r>
        <w:rPr>
          <w:sz w:val="24"/>
        </w:rPr>
        <w:t>brzmienie:</w:t>
      </w:r>
    </w:p>
    <w:p>
      <w:pPr>
        <w:pStyle w:val="BodyText"/>
        <w:spacing w:line="360" w:lineRule="auto" w:before="138"/>
        <w:ind w:left="1518"/>
      </w:pPr>
      <w:r>
        <w:rPr/>
        <w:t>„Tablice szlaku drogowego E-14 umieszczane na autostradzie i na drodze ekspresowej pokazano na rysunku 6.3.6.3.”,</w:t>
      </w:r>
    </w:p>
    <w:p>
      <w:pPr>
        <w:pStyle w:val="ListParagraph"/>
        <w:numPr>
          <w:ilvl w:val="1"/>
          <w:numId w:val="2"/>
        </w:numPr>
        <w:tabs>
          <w:tab w:pos="1301" w:val="left" w:leader="none"/>
        </w:tabs>
        <w:spacing w:line="240" w:lineRule="auto" w:before="5" w:after="0"/>
        <w:ind w:left="1301" w:right="0" w:hanging="180"/>
        <w:jc w:val="both"/>
        <w:rPr>
          <w:sz w:val="24"/>
        </w:rPr>
      </w:pPr>
      <w:r>
        <w:rPr>
          <w:sz w:val="24"/>
        </w:rPr>
        <w:t>–  rysunek 6.3.6.3 otrzymuje</w:t>
      </w:r>
      <w:r>
        <w:rPr>
          <w:spacing w:val="-24"/>
          <w:sz w:val="24"/>
        </w:rPr>
        <w:t> </w:t>
      </w:r>
      <w:r>
        <w:rPr>
          <w:sz w:val="24"/>
        </w:rPr>
        <w:t>brzmienie:</w:t>
      </w:r>
    </w:p>
    <w:p>
      <w:pPr>
        <w:pStyle w:val="BodyText"/>
        <w:spacing w:before="138"/>
        <w:ind w:left="1518"/>
      </w:pPr>
      <w:r>
        <w:rPr/>
        <w:drawing>
          <wp:anchor distT="0" distB="0" distL="0" distR="0" allowOverlap="1" layoutInCell="1" locked="0" behindDoc="0" simplePos="0" relativeHeight="1192">
            <wp:simplePos x="0" y="0"/>
            <wp:positionH relativeFrom="page">
              <wp:posOffset>2030730</wp:posOffset>
            </wp:positionH>
            <wp:positionV relativeFrom="paragraph">
              <wp:posOffset>350496</wp:posOffset>
            </wp:positionV>
            <wp:extent cx="3249507" cy="1288732"/>
            <wp:effectExtent l="0" t="0" r="0" b="0"/>
            <wp:wrapTopAndBottom/>
            <wp:docPr id="21" name="image11.jpeg" descr=""/>
            <wp:cNvGraphicFramePr>
              <a:graphicFrameLocks noChangeAspect="1"/>
            </wp:cNvGraphicFramePr>
            <a:graphic>
              <a:graphicData uri="http://schemas.openxmlformats.org/drawingml/2006/picture">
                <pic:pic>
                  <pic:nvPicPr>
                    <pic:cNvPr id="22" name="image11.jpeg"/>
                    <pic:cNvPicPr/>
                  </pic:nvPicPr>
                  <pic:blipFill>
                    <a:blip r:embed="rId16" cstate="print"/>
                    <a:stretch>
                      <a:fillRect/>
                    </a:stretch>
                  </pic:blipFill>
                  <pic:spPr>
                    <a:xfrm>
                      <a:off x="0" y="0"/>
                      <a:ext cx="3249507" cy="1288732"/>
                    </a:xfrm>
                    <a:prstGeom prst="rect">
                      <a:avLst/>
                    </a:prstGeom>
                  </pic:spPr>
                </pic:pic>
              </a:graphicData>
            </a:graphic>
          </wp:anchor>
        </w:drawing>
      </w:r>
      <w:r>
        <w:rPr/>
        <w:t>„Rys. 6.3.6.3. Tablica E-14:</w:t>
      </w:r>
    </w:p>
    <w:p>
      <w:pPr>
        <w:pStyle w:val="ListParagraph"/>
        <w:numPr>
          <w:ilvl w:val="2"/>
          <w:numId w:val="6"/>
        </w:numPr>
        <w:tabs>
          <w:tab w:pos="1765" w:val="left" w:leader="none"/>
        </w:tabs>
        <w:spacing w:line="240" w:lineRule="auto" w:before="103" w:after="138"/>
        <w:ind w:left="1764" w:right="0" w:hanging="246"/>
        <w:jc w:val="left"/>
        <w:rPr>
          <w:sz w:val="24"/>
        </w:rPr>
      </w:pPr>
      <w:r>
        <w:rPr>
          <w:sz w:val="24"/>
        </w:rPr>
        <w:t>na</w:t>
      </w:r>
      <w:r>
        <w:rPr>
          <w:spacing w:val="-12"/>
          <w:sz w:val="24"/>
        </w:rPr>
        <w:t> </w:t>
      </w:r>
      <w:r>
        <w:rPr>
          <w:sz w:val="24"/>
        </w:rPr>
        <w:t>autostradzie</w:t>
      </w:r>
    </w:p>
    <w:p>
      <w:pPr>
        <w:pStyle w:val="BodyText"/>
        <w:ind w:left="1518"/>
        <w:rPr>
          <w:sz w:val="20"/>
        </w:rPr>
      </w:pPr>
      <w:r>
        <w:rPr>
          <w:sz w:val="20"/>
        </w:rPr>
        <w:drawing>
          <wp:inline distT="0" distB="0" distL="0" distR="0">
            <wp:extent cx="3231599" cy="1232153"/>
            <wp:effectExtent l="0" t="0" r="0" b="0"/>
            <wp:docPr id="23" name="image12.jpeg" descr=""/>
            <wp:cNvGraphicFramePr>
              <a:graphicFrameLocks noChangeAspect="1"/>
            </wp:cNvGraphicFramePr>
            <a:graphic>
              <a:graphicData uri="http://schemas.openxmlformats.org/drawingml/2006/picture">
                <pic:pic>
                  <pic:nvPicPr>
                    <pic:cNvPr id="24" name="image12.jpeg"/>
                    <pic:cNvPicPr/>
                  </pic:nvPicPr>
                  <pic:blipFill>
                    <a:blip r:embed="rId17" cstate="print"/>
                    <a:stretch>
                      <a:fillRect/>
                    </a:stretch>
                  </pic:blipFill>
                  <pic:spPr>
                    <a:xfrm>
                      <a:off x="0" y="0"/>
                      <a:ext cx="3231599" cy="1232153"/>
                    </a:xfrm>
                    <a:prstGeom prst="rect">
                      <a:avLst/>
                    </a:prstGeom>
                  </pic:spPr>
                </pic:pic>
              </a:graphicData>
            </a:graphic>
          </wp:inline>
        </w:drawing>
      </w:r>
      <w:r>
        <w:rPr>
          <w:sz w:val="20"/>
        </w:rPr>
      </w:r>
    </w:p>
    <w:p>
      <w:pPr>
        <w:pStyle w:val="ListParagraph"/>
        <w:numPr>
          <w:ilvl w:val="2"/>
          <w:numId w:val="6"/>
        </w:numPr>
        <w:tabs>
          <w:tab w:pos="1778" w:val="left" w:leader="none"/>
        </w:tabs>
        <w:spacing w:line="240" w:lineRule="auto" w:before="147" w:after="0"/>
        <w:ind w:left="1777" w:right="0" w:hanging="259"/>
        <w:jc w:val="left"/>
        <w:rPr>
          <w:sz w:val="24"/>
        </w:rPr>
      </w:pPr>
      <w:r>
        <w:rPr>
          <w:sz w:val="24"/>
        </w:rPr>
        <w:t>na drodze</w:t>
      </w:r>
      <w:r>
        <w:rPr>
          <w:spacing w:val="-15"/>
          <w:sz w:val="24"/>
        </w:rPr>
        <w:t> </w:t>
      </w:r>
      <w:r>
        <w:rPr>
          <w:sz w:val="24"/>
        </w:rPr>
        <w:t>ekspresowej”,</w:t>
      </w:r>
    </w:p>
    <w:p>
      <w:pPr>
        <w:pStyle w:val="ListParagraph"/>
        <w:numPr>
          <w:ilvl w:val="0"/>
          <w:numId w:val="2"/>
        </w:numPr>
        <w:tabs>
          <w:tab w:pos="1121" w:val="left" w:leader="none"/>
          <w:tab w:pos="1122" w:val="left" w:leader="none"/>
        </w:tabs>
        <w:spacing w:line="240" w:lineRule="auto" w:before="137" w:after="0"/>
        <w:ind w:left="1122" w:right="0" w:hanging="397"/>
        <w:jc w:val="left"/>
        <w:rPr>
          <w:sz w:val="24"/>
        </w:rPr>
      </w:pPr>
      <w:r>
        <w:rPr>
          <w:sz w:val="24"/>
        </w:rPr>
        <w:t>w pkt 6.3.7.5  dodaje się akapit drugi i rysunek 6.3.7.8a w</w:t>
      </w:r>
      <w:r>
        <w:rPr>
          <w:spacing w:val="-11"/>
          <w:sz w:val="24"/>
        </w:rPr>
        <w:t> </w:t>
      </w:r>
      <w:r>
        <w:rPr>
          <w:sz w:val="24"/>
        </w:rPr>
        <w:t>brzmieniu:</w:t>
      </w:r>
    </w:p>
    <w:p>
      <w:pPr>
        <w:pStyle w:val="BodyText"/>
        <w:spacing w:line="360" w:lineRule="auto" w:before="137" w:after="5"/>
        <w:ind w:left="1121" w:right="111"/>
        <w:jc w:val="both"/>
      </w:pPr>
      <w:r>
        <w:rPr/>
        <w:t>„Jeżeli</w:t>
      </w:r>
      <w:r>
        <w:rPr>
          <w:spacing w:val="-13"/>
        </w:rPr>
        <w:t> </w:t>
      </w:r>
      <w:r>
        <w:rPr/>
        <w:t>istnieje</w:t>
      </w:r>
      <w:r>
        <w:rPr>
          <w:spacing w:val="-12"/>
        </w:rPr>
        <w:t> </w:t>
      </w:r>
      <w:r>
        <w:rPr/>
        <w:t>konieczność</w:t>
      </w:r>
      <w:r>
        <w:rPr>
          <w:spacing w:val="-13"/>
        </w:rPr>
        <w:t> </w:t>
      </w:r>
      <w:r>
        <w:rPr/>
        <w:t>wskazania</w:t>
      </w:r>
      <w:r>
        <w:rPr>
          <w:spacing w:val="-13"/>
        </w:rPr>
        <w:t> </w:t>
      </w:r>
      <w:r>
        <w:rPr/>
        <w:t>dojazdu</w:t>
      </w:r>
      <w:r>
        <w:rPr>
          <w:spacing w:val="-14"/>
        </w:rPr>
        <w:t> </w:t>
      </w:r>
      <w:r>
        <w:rPr/>
        <w:t>do</w:t>
      </w:r>
      <w:r>
        <w:rPr>
          <w:spacing w:val="-14"/>
        </w:rPr>
        <w:t> </w:t>
      </w:r>
      <w:r>
        <w:rPr/>
        <w:t>drogi</w:t>
      </w:r>
      <w:r>
        <w:rPr>
          <w:spacing w:val="-14"/>
        </w:rPr>
        <w:t> </w:t>
      </w:r>
      <w:r>
        <w:rPr/>
        <w:t>ekspresowej</w:t>
      </w:r>
      <w:r>
        <w:rPr>
          <w:spacing w:val="-12"/>
        </w:rPr>
        <w:t> </w:t>
      </w:r>
      <w:r>
        <w:rPr/>
        <w:t>na</w:t>
      </w:r>
      <w:r>
        <w:rPr>
          <w:spacing w:val="-14"/>
        </w:rPr>
        <w:t> </w:t>
      </w:r>
      <w:r>
        <w:rPr/>
        <w:t>drogach od niej oddalonych, dopuszcza się stosowanie drogowskazu w kształcie strzały ze znakiem D-7, numerem drogi ekspresowej i odległością do jej najbliższego węzła (rys.</w:t>
      </w:r>
      <w:r>
        <w:rPr>
          <w:spacing w:val="-2"/>
        </w:rPr>
        <w:t> </w:t>
      </w:r>
      <w:r>
        <w:rPr/>
        <w:t>6.3.7.8a).</w:t>
      </w:r>
    </w:p>
    <w:p>
      <w:pPr>
        <w:pStyle w:val="BodyText"/>
        <w:ind w:left="1121"/>
        <w:rPr>
          <w:sz w:val="20"/>
        </w:rPr>
      </w:pPr>
      <w:r>
        <w:rPr>
          <w:sz w:val="20"/>
        </w:rPr>
        <w:drawing>
          <wp:inline distT="0" distB="0" distL="0" distR="0">
            <wp:extent cx="1737130" cy="722376"/>
            <wp:effectExtent l="0" t="0" r="0" b="0"/>
            <wp:docPr id="25" name="image13.jpeg" descr=""/>
            <wp:cNvGraphicFramePr>
              <a:graphicFrameLocks noChangeAspect="1"/>
            </wp:cNvGraphicFramePr>
            <a:graphic>
              <a:graphicData uri="http://schemas.openxmlformats.org/drawingml/2006/picture">
                <pic:pic>
                  <pic:nvPicPr>
                    <pic:cNvPr id="26" name="image13.jpeg"/>
                    <pic:cNvPicPr/>
                  </pic:nvPicPr>
                  <pic:blipFill>
                    <a:blip r:embed="rId18" cstate="print"/>
                    <a:stretch>
                      <a:fillRect/>
                    </a:stretch>
                  </pic:blipFill>
                  <pic:spPr>
                    <a:xfrm>
                      <a:off x="0" y="0"/>
                      <a:ext cx="1737130" cy="722376"/>
                    </a:xfrm>
                    <a:prstGeom prst="rect">
                      <a:avLst/>
                    </a:prstGeom>
                  </pic:spPr>
                </pic:pic>
              </a:graphicData>
            </a:graphic>
          </wp:inline>
        </w:drawing>
      </w:r>
      <w:r>
        <w:rPr>
          <w:sz w:val="20"/>
        </w:rPr>
      </w:r>
    </w:p>
    <w:p>
      <w:pPr>
        <w:pStyle w:val="BodyText"/>
        <w:spacing w:before="141"/>
        <w:ind w:left="1121"/>
        <w:jc w:val="both"/>
      </w:pPr>
      <w:r>
        <w:rPr/>
        <w:t>Rys. 6.3.7.8a. Drogowskaz w kształcie strzały do drogi ekspresowej”,</w:t>
      </w:r>
    </w:p>
    <w:p>
      <w:pPr>
        <w:pStyle w:val="ListParagraph"/>
        <w:numPr>
          <w:ilvl w:val="0"/>
          <w:numId w:val="2"/>
        </w:numPr>
        <w:tabs>
          <w:tab w:pos="1121" w:val="left" w:leader="none"/>
          <w:tab w:pos="1122" w:val="left" w:leader="none"/>
        </w:tabs>
        <w:spacing w:line="240" w:lineRule="auto" w:before="138" w:after="0"/>
        <w:ind w:left="1122" w:right="0" w:hanging="397"/>
        <w:jc w:val="left"/>
        <w:rPr>
          <w:sz w:val="24"/>
        </w:rPr>
      </w:pPr>
      <w:r>
        <w:rPr>
          <w:sz w:val="24"/>
        </w:rPr>
        <w:t>pkt 6.3.11 otrzymuje</w:t>
      </w:r>
      <w:r>
        <w:rPr>
          <w:spacing w:val="-2"/>
          <w:sz w:val="24"/>
        </w:rPr>
        <w:t> </w:t>
      </w:r>
      <w:r>
        <w:rPr>
          <w:sz w:val="24"/>
        </w:rPr>
        <w:t>brzmienie:</w:t>
      </w:r>
    </w:p>
    <w:p>
      <w:pPr>
        <w:pStyle w:val="Heading1"/>
        <w:spacing w:before="138"/>
        <w:jc w:val="both"/>
      </w:pPr>
      <w:r>
        <w:rPr>
          <w:b w:val="0"/>
        </w:rPr>
        <w:t>„</w:t>
      </w:r>
      <w:r>
        <w:rPr/>
        <w:t>6.3.11. Tablica węzła drogowego</w:t>
      </w:r>
    </w:p>
    <w:p>
      <w:pPr>
        <w:spacing w:after="0"/>
        <w:jc w:val="both"/>
        <w:sectPr>
          <w:pgSz w:w="11910" w:h="16840"/>
          <w:pgMar w:header="719" w:footer="0" w:top="980" w:bottom="280" w:left="1680" w:right="1320"/>
        </w:sectPr>
      </w:pPr>
    </w:p>
    <w:p>
      <w:pPr>
        <w:pStyle w:val="BodyText"/>
        <w:rPr>
          <w:b/>
          <w:sz w:val="20"/>
        </w:rPr>
      </w:pPr>
    </w:p>
    <w:p>
      <w:pPr>
        <w:pStyle w:val="BodyText"/>
        <w:spacing w:before="2"/>
        <w:rPr>
          <w:b/>
          <w:sz w:val="22"/>
        </w:rPr>
      </w:pPr>
    </w:p>
    <w:p>
      <w:pPr>
        <w:pStyle w:val="BodyText"/>
        <w:spacing w:line="360" w:lineRule="auto" w:before="90"/>
        <w:ind w:left="1121" w:right="112"/>
        <w:jc w:val="both"/>
      </w:pPr>
      <w:r>
        <w:rPr/>
        <w:t>Tablicę  E-20  stosuje  się  w  celu  poinformowania  kierujących  pojazdami     o zbliżaniu się do wyjazdu z</w:t>
      </w:r>
      <w:r>
        <w:rPr>
          <w:spacing w:val="-7"/>
        </w:rPr>
        <w:t> </w:t>
      </w:r>
      <w:r>
        <w:rPr/>
        <w:t>drogi.</w:t>
      </w:r>
    </w:p>
    <w:p>
      <w:pPr>
        <w:pStyle w:val="BodyText"/>
        <w:spacing w:line="360" w:lineRule="auto" w:before="5"/>
        <w:ind w:left="1121" w:right="111"/>
        <w:jc w:val="both"/>
      </w:pPr>
      <w:r>
        <w:rPr/>
        <w:t>Tablica</w:t>
      </w:r>
      <w:r>
        <w:rPr>
          <w:spacing w:val="-7"/>
        </w:rPr>
        <w:t> </w:t>
      </w:r>
      <w:r>
        <w:rPr/>
        <w:t>E-20</w:t>
      </w:r>
      <w:r>
        <w:rPr>
          <w:spacing w:val="-7"/>
        </w:rPr>
        <w:t> </w:t>
      </w:r>
      <w:r>
        <w:rPr/>
        <w:t>na</w:t>
      </w:r>
      <w:r>
        <w:rPr>
          <w:spacing w:val="-8"/>
        </w:rPr>
        <w:t> </w:t>
      </w:r>
      <w:r>
        <w:rPr/>
        <w:t>autostradzie</w:t>
      </w:r>
      <w:r>
        <w:rPr>
          <w:spacing w:val="-6"/>
        </w:rPr>
        <w:t> </w:t>
      </w:r>
      <w:r>
        <w:rPr/>
        <w:t>ma</w:t>
      </w:r>
      <w:r>
        <w:rPr>
          <w:spacing w:val="-8"/>
        </w:rPr>
        <w:t> </w:t>
      </w:r>
      <w:r>
        <w:rPr/>
        <w:t>tło</w:t>
      </w:r>
      <w:r>
        <w:rPr>
          <w:spacing w:val="-7"/>
        </w:rPr>
        <w:t> </w:t>
      </w:r>
      <w:r>
        <w:rPr/>
        <w:t>barwy</w:t>
      </w:r>
      <w:r>
        <w:rPr>
          <w:spacing w:val="-8"/>
        </w:rPr>
        <w:t> </w:t>
      </w:r>
      <w:r>
        <w:rPr/>
        <w:t>niebieskiej,</w:t>
      </w:r>
      <w:r>
        <w:rPr>
          <w:spacing w:val="-8"/>
        </w:rPr>
        <w:t> </w:t>
      </w:r>
      <w:r>
        <w:rPr/>
        <w:t>a</w:t>
      </w:r>
      <w:r>
        <w:rPr>
          <w:spacing w:val="-8"/>
        </w:rPr>
        <w:t> </w:t>
      </w:r>
      <w:r>
        <w:rPr/>
        <w:t>na</w:t>
      </w:r>
      <w:r>
        <w:rPr>
          <w:spacing w:val="-8"/>
        </w:rPr>
        <w:t> </w:t>
      </w:r>
      <w:r>
        <w:rPr/>
        <w:t>pozostałych</w:t>
      </w:r>
      <w:r>
        <w:rPr>
          <w:spacing w:val="-7"/>
        </w:rPr>
        <w:t> </w:t>
      </w:r>
      <w:r>
        <w:rPr/>
        <w:t>drogach ma tło barwy</w:t>
      </w:r>
      <w:r>
        <w:rPr>
          <w:spacing w:val="-13"/>
        </w:rPr>
        <w:t> </w:t>
      </w:r>
      <w:r>
        <w:rPr/>
        <w:t>zielonej.</w:t>
      </w:r>
    </w:p>
    <w:p>
      <w:pPr>
        <w:pStyle w:val="BodyText"/>
        <w:spacing w:line="360" w:lineRule="auto" w:before="5"/>
        <w:ind w:left="1120" w:right="112"/>
        <w:jc w:val="both"/>
      </w:pPr>
      <w:r>
        <w:rPr/>
        <w:t>Na tablicy E-20 na autostradzie lub drodze ekspresowej w lewej części umieszcza się  symbol  węzła  (na  górze)  wraz  z  numerem  węzła  (na  dole), a</w:t>
      </w:r>
      <w:r>
        <w:rPr>
          <w:spacing w:val="-2"/>
        </w:rPr>
        <w:t> </w:t>
      </w:r>
      <w:r>
        <w:rPr/>
        <w:t>w</w:t>
      </w:r>
      <w:r>
        <w:rPr>
          <w:spacing w:val="-2"/>
        </w:rPr>
        <w:t> </w:t>
      </w:r>
      <w:r>
        <w:rPr/>
        <w:t>prawej</w:t>
      </w:r>
      <w:r>
        <w:rPr>
          <w:spacing w:val="-16"/>
        </w:rPr>
        <w:t> </w:t>
      </w:r>
      <w:r>
        <w:rPr/>
        <w:t>części</w:t>
      </w:r>
      <w:r>
        <w:rPr>
          <w:spacing w:val="-15"/>
        </w:rPr>
        <w:t> </w:t>
      </w:r>
      <w:r>
        <w:rPr/>
        <w:t>nad</w:t>
      </w:r>
      <w:r>
        <w:rPr>
          <w:spacing w:val="-16"/>
        </w:rPr>
        <w:t> </w:t>
      </w:r>
      <w:r>
        <w:rPr/>
        <w:t>kreską</w:t>
      </w:r>
      <w:r>
        <w:rPr>
          <w:spacing w:val="-16"/>
        </w:rPr>
        <w:t> </w:t>
      </w:r>
      <w:r>
        <w:rPr/>
        <w:t>podaje</w:t>
      </w:r>
      <w:r>
        <w:rPr>
          <w:spacing w:val="-16"/>
        </w:rPr>
        <w:t> </w:t>
      </w:r>
      <w:r>
        <w:rPr/>
        <w:t>się</w:t>
      </w:r>
      <w:r>
        <w:rPr>
          <w:spacing w:val="-16"/>
        </w:rPr>
        <w:t> </w:t>
      </w:r>
      <w:r>
        <w:rPr/>
        <w:t>nazwę</w:t>
      </w:r>
      <w:r>
        <w:rPr>
          <w:spacing w:val="-16"/>
        </w:rPr>
        <w:t> </w:t>
      </w:r>
      <w:r>
        <w:rPr/>
        <w:t>węzła</w:t>
      </w:r>
      <w:r>
        <w:rPr>
          <w:spacing w:val="-16"/>
        </w:rPr>
        <w:t> </w:t>
      </w:r>
      <w:r>
        <w:rPr/>
        <w:t>oraz</w:t>
      </w:r>
      <w:r>
        <w:rPr>
          <w:spacing w:val="-16"/>
        </w:rPr>
        <w:t> </w:t>
      </w:r>
      <w:r>
        <w:rPr/>
        <w:t>pod</w:t>
      </w:r>
      <w:r>
        <w:rPr>
          <w:spacing w:val="-16"/>
        </w:rPr>
        <w:t> </w:t>
      </w:r>
      <w:r>
        <w:rPr/>
        <w:t>kreską</w:t>
      </w:r>
      <w:r>
        <w:rPr>
          <w:spacing w:val="-16"/>
        </w:rPr>
        <w:t> </w:t>
      </w:r>
      <w:r>
        <w:rPr/>
        <w:t>–</w:t>
      </w:r>
      <w:r>
        <w:rPr>
          <w:spacing w:val="-16"/>
        </w:rPr>
        <w:t> </w:t>
      </w:r>
      <w:r>
        <w:rPr/>
        <w:t>odległość do początku pasa wyłączania (rys. 6.3.11.1a i 6.3.11.1b). Na drodze innej niż autostrada i droga ekspresowa na tablicy E-20 nie umieszcza się numeru węzła (rys.</w:t>
      </w:r>
      <w:r>
        <w:rPr>
          <w:spacing w:val="-1"/>
        </w:rPr>
        <w:t> </w:t>
      </w:r>
      <w:r>
        <w:rPr/>
        <w:t>6.3.11.1c).</w:t>
      </w:r>
    </w:p>
    <w:p>
      <w:pPr>
        <w:pStyle w:val="BodyText"/>
        <w:spacing w:before="5"/>
        <w:ind w:left="1121"/>
        <w:jc w:val="both"/>
      </w:pPr>
      <w:r>
        <w:rPr/>
        <w:drawing>
          <wp:anchor distT="0" distB="0" distL="0" distR="0" allowOverlap="1" layoutInCell="1" locked="0" behindDoc="0" simplePos="0" relativeHeight="1216">
            <wp:simplePos x="0" y="0"/>
            <wp:positionH relativeFrom="page">
              <wp:posOffset>1778635</wp:posOffset>
            </wp:positionH>
            <wp:positionV relativeFrom="paragraph">
              <wp:posOffset>266041</wp:posOffset>
            </wp:positionV>
            <wp:extent cx="2171736" cy="944689"/>
            <wp:effectExtent l="0" t="0" r="0" b="0"/>
            <wp:wrapTopAndBottom/>
            <wp:docPr id="27" name="image14.png" descr=""/>
            <wp:cNvGraphicFramePr>
              <a:graphicFrameLocks noChangeAspect="1"/>
            </wp:cNvGraphicFramePr>
            <a:graphic>
              <a:graphicData uri="http://schemas.openxmlformats.org/drawingml/2006/picture">
                <pic:pic>
                  <pic:nvPicPr>
                    <pic:cNvPr id="28" name="image14.png"/>
                    <pic:cNvPicPr/>
                  </pic:nvPicPr>
                  <pic:blipFill>
                    <a:blip r:embed="rId19" cstate="print"/>
                    <a:stretch>
                      <a:fillRect/>
                    </a:stretch>
                  </pic:blipFill>
                  <pic:spPr>
                    <a:xfrm>
                      <a:off x="0" y="0"/>
                      <a:ext cx="2171736" cy="944689"/>
                    </a:xfrm>
                    <a:prstGeom prst="rect">
                      <a:avLst/>
                    </a:prstGeom>
                  </pic:spPr>
                </pic:pic>
              </a:graphicData>
            </a:graphic>
          </wp:anchor>
        </w:drawing>
      </w:r>
      <w:r>
        <w:rPr/>
        <w:t>Rys. 6.3.11.1. Znak E-20:</w:t>
      </w:r>
    </w:p>
    <w:p>
      <w:pPr>
        <w:pStyle w:val="ListParagraph"/>
        <w:numPr>
          <w:ilvl w:val="0"/>
          <w:numId w:val="7"/>
        </w:numPr>
        <w:tabs>
          <w:tab w:pos="1368" w:val="left" w:leader="none"/>
        </w:tabs>
        <w:spacing w:line="240" w:lineRule="auto" w:before="101" w:after="138"/>
        <w:ind w:left="1367" w:right="0" w:hanging="246"/>
        <w:jc w:val="both"/>
        <w:rPr>
          <w:sz w:val="24"/>
        </w:rPr>
      </w:pPr>
      <w:r>
        <w:rPr>
          <w:sz w:val="24"/>
        </w:rPr>
        <w:t>na</w:t>
      </w:r>
      <w:r>
        <w:rPr>
          <w:spacing w:val="-12"/>
          <w:sz w:val="24"/>
        </w:rPr>
        <w:t> </w:t>
      </w:r>
      <w:r>
        <w:rPr>
          <w:sz w:val="24"/>
        </w:rPr>
        <w:t>autostradzie</w:t>
      </w:r>
    </w:p>
    <w:p>
      <w:pPr>
        <w:pStyle w:val="BodyText"/>
        <w:ind w:left="1121"/>
        <w:rPr>
          <w:sz w:val="20"/>
        </w:rPr>
      </w:pPr>
      <w:r>
        <w:rPr>
          <w:sz w:val="20"/>
        </w:rPr>
        <w:drawing>
          <wp:inline distT="0" distB="0" distL="0" distR="0">
            <wp:extent cx="2174472" cy="942975"/>
            <wp:effectExtent l="0" t="0" r="0" b="0"/>
            <wp:docPr id="29" name="image15.png" descr=""/>
            <wp:cNvGraphicFramePr>
              <a:graphicFrameLocks noChangeAspect="1"/>
            </wp:cNvGraphicFramePr>
            <a:graphic>
              <a:graphicData uri="http://schemas.openxmlformats.org/drawingml/2006/picture">
                <pic:pic>
                  <pic:nvPicPr>
                    <pic:cNvPr id="30" name="image15.png"/>
                    <pic:cNvPicPr/>
                  </pic:nvPicPr>
                  <pic:blipFill>
                    <a:blip r:embed="rId20" cstate="print"/>
                    <a:stretch>
                      <a:fillRect/>
                    </a:stretch>
                  </pic:blipFill>
                  <pic:spPr>
                    <a:xfrm>
                      <a:off x="0" y="0"/>
                      <a:ext cx="2174472" cy="942975"/>
                    </a:xfrm>
                    <a:prstGeom prst="rect">
                      <a:avLst/>
                    </a:prstGeom>
                  </pic:spPr>
                </pic:pic>
              </a:graphicData>
            </a:graphic>
          </wp:inline>
        </w:drawing>
      </w:r>
      <w:r>
        <w:rPr>
          <w:sz w:val="20"/>
        </w:rPr>
      </w:r>
    </w:p>
    <w:p>
      <w:pPr>
        <w:pStyle w:val="ListParagraph"/>
        <w:numPr>
          <w:ilvl w:val="0"/>
          <w:numId w:val="7"/>
        </w:numPr>
        <w:tabs>
          <w:tab w:pos="1381" w:val="left" w:leader="none"/>
        </w:tabs>
        <w:spacing w:line="240" w:lineRule="auto" w:before="128" w:after="0"/>
        <w:ind w:left="1380" w:right="0" w:hanging="259"/>
        <w:jc w:val="both"/>
        <w:rPr>
          <w:sz w:val="24"/>
        </w:rPr>
      </w:pPr>
      <w:r>
        <w:rPr/>
        <w:drawing>
          <wp:anchor distT="0" distB="0" distL="0" distR="0" allowOverlap="1" layoutInCell="1" locked="0" behindDoc="0" simplePos="0" relativeHeight="1240">
            <wp:simplePos x="0" y="0"/>
            <wp:positionH relativeFrom="page">
              <wp:posOffset>1778635</wp:posOffset>
            </wp:positionH>
            <wp:positionV relativeFrom="paragraph">
              <wp:posOffset>344146</wp:posOffset>
            </wp:positionV>
            <wp:extent cx="2170801" cy="947165"/>
            <wp:effectExtent l="0" t="0" r="0" b="0"/>
            <wp:wrapTopAndBottom/>
            <wp:docPr id="31" name="image16.png" descr=""/>
            <wp:cNvGraphicFramePr>
              <a:graphicFrameLocks noChangeAspect="1"/>
            </wp:cNvGraphicFramePr>
            <a:graphic>
              <a:graphicData uri="http://schemas.openxmlformats.org/drawingml/2006/picture">
                <pic:pic>
                  <pic:nvPicPr>
                    <pic:cNvPr id="32" name="image16.png"/>
                    <pic:cNvPicPr/>
                  </pic:nvPicPr>
                  <pic:blipFill>
                    <a:blip r:embed="rId21" cstate="print"/>
                    <a:stretch>
                      <a:fillRect/>
                    </a:stretch>
                  </pic:blipFill>
                  <pic:spPr>
                    <a:xfrm>
                      <a:off x="0" y="0"/>
                      <a:ext cx="2170801" cy="947165"/>
                    </a:xfrm>
                    <a:prstGeom prst="rect">
                      <a:avLst/>
                    </a:prstGeom>
                  </pic:spPr>
                </pic:pic>
              </a:graphicData>
            </a:graphic>
          </wp:anchor>
        </w:drawing>
      </w:r>
      <w:r>
        <w:rPr>
          <w:sz w:val="24"/>
        </w:rPr>
        <w:t>na drodze</w:t>
      </w:r>
      <w:r>
        <w:rPr>
          <w:spacing w:val="-13"/>
          <w:sz w:val="24"/>
        </w:rPr>
        <w:t> </w:t>
      </w:r>
      <w:r>
        <w:rPr>
          <w:sz w:val="24"/>
        </w:rPr>
        <w:t>ekspresowej</w:t>
      </w:r>
    </w:p>
    <w:p>
      <w:pPr>
        <w:pStyle w:val="ListParagraph"/>
        <w:numPr>
          <w:ilvl w:val="0"/>
          <w:numId w:val="7"/>
        </w:numPr>
        <w:tabs>
          <w:tab w:pos="1368" w:val="left" w:leader="none"/>
        </w:tabs>
        <w:spacing w:line="240" w:lineRule="auto" w:before="101" w:after="0"/>
        <w:ind w:left="1367" w:right="0" w:hanging="246"/>
        <w:jc w:val="both"/>
        <w:rPr>
          <w:sz w:val="24"/>
        </w:rPr>
      </w:pPr>
      <w:r>
        <w:rPr>
          <w:sz w:val="24"/>
        </w:rPr>
        <w:t>na drodze innej niż autostrada i droga</w:t>
      </w:r>
      <w:r>
        <w:rPr>
          <w:spacing w:val="-27"/>
          <w:sz w:val="24"/>
        </w:rPr>
        <w:t> </w:t>
      </w:r>
      <w:r>
        <w:rPr>
          <w:sz w:val="24"/>
        </w:rPr>
        <w:t>ekspresowa.</w:t>
      </w:r>
    </w:p>
    <w:p>
      <w:pPr>
        <w:pStyle w:val="BodyText"/>
        <w:spacing w:line="360" w:lineRule="auto" w:before="137"/>
        <w:ind w:left="1121" w:right="112"/>
        <w:jc w:val="both"/>
      </w:pPr>
      <w:r>
        <w:rPr/>
        <w:t>Tablicę E-20 umieszcza się w odległości 3000 m przed początkiem pasa wyłączania, chyba że warunki lokalne na to nie pozwalają. W takim przypadku dopuszcza się zmniejszenie tej odległości do nie mniej niż 1000 m przed początkiem  pasa  wyłączania.  Wówczas  rzeczywistą  odległość  podaje  się    z dokładnością do 100</w:t>
      </w:r>
      <w:r>
        <w:rPr>
          <w:spacing w:val="-7"/>
        </w:rPr>
        <w:t> </w:t>
      </w:r>
      <w:r>
        <w:rPr/>
        <w:t>m.”,</w:t>
      </w:r>
    </w:p>
    <w:p>
      <w:pPr>
        <w:pStyle w:val="ListParagraph"/>
        <w:numPr>
          <w:ilvl w:val="0"/>
          <w:numId w:val="2"/>
        </w:numPr>
        <w:tabs>
          <w:tab w:pos="1121" w:val="left" w:leader="none"/>
          <w:tab w:pos="1122" w:val="left" w:leader="none"/>
        </w:tabs>
        <w:spacing w:line="240" w:lineRule="auto" w:before="4" w:after="0"/>
        <w:ind w:left="1122" w:right="0" w:hanging="397"/>
        <w:jc w:val="left"/>
        <w:rPr>
          <w:sz w:val="24"/>
        </w:rPr>
      </w:pPr>
      <w:r>
        <w:rPr>
          <w:sz w:val="24"/>
        </w:rPr>
        <w:t>po pkt 6.3.11 dodaje się pkt 6.3.11a w</w:t>
      </w:r>
      <w:r>
        <w:rPr>
          <w:spacing w:val="-6"/>
          <w:sz w:val="24"/>
        </w:rPr>
        <w:t> </w:t>
      </w:r>
      <w:r>
        <w:rPr>
          <w:sz w:val="24"/>
        </w:rPr>
        <w:t>brzmieniu:</w:t>
      </w:r>
    </w:p>
    <w:p>
      <w:pPr>
        <w:pStyle w:val="Heading1"/>
        <w:jc w:val="both"/>
      </w:pPr>
      <w:r>
        <w:rPr>
          <w:b w:val="0"/>
        </w:rPr>
        <w:t>„</w:t>
      </w:r>
      <w:r>
        <w:rPr/>
        <w:t>6.3.11a. Numer węzła drogowego na autostradzie lub drodze ekspresowej</w:t>
      </w:r>
    </w:p>
    <w:p>
      <w:pPr>
        <w:spacing w:after="0"/>
        <w:jc w:val="both"/>
        <w:sectPr>
          <w:pgSz w:w="11910" w:h="16840"/>
          <w:pgMar w:header="719" w:footer="0" w:top="980" w:bottom="280" w:left="1680" w:right="1320"/>
        </w:sectPr>
      </w:pPr>
    </w:p>
    <w:p>
      <w:pPr>
        <w:pStyle w:val="BodyText"/>
        <w:rPr>
          <w:b/>
          <w:sz w:val="20"/>
        </w:rPr>
      </w:pPr>
    </w:p>
    <w:p>
      <w:pPr>
        <w:pStyle w:val="BodyText"/>
        <w:spacing w:before="2"/>
        <w:rPr>
          <w:b/>
          <w:sz w:val="22"/>
        </w:rPr>
      </w:pPr>
    </w:p>
    <w:p>
      <w:pPr>
        <w:pStyle w:val="BodyText"/>
        <w:spacing w:line="360" w:lineRule="auto" w:before="90"/>
        <w:ind w:left="1121" w:right="111"/>
        <w:jc w:val="both"/>
      </w:pPr>
      <w:r>
        <w:rPr/>
        <w:t>Znak E-20a „numer węzła drogowego na autostradzie lub drodze ekspresowej” stosowany</w:t>
      </w:r>
      <w:r>
        <w:rPr>
          <w:spacing w:val="-8"/>
        </w:rPr>
        <w:t> </w:t>
      </w:r>
      <w:r>
        <w:rPr/>
        <w:t>jest</w:t>
      </w:r>
      <w:r>
        <w:rPr>
          <w:spacing w:val="-8"/>
        </w:rPr>
        <w:t> </w:t>
      </w:r>
      <w:r>
        <w:rPr/>
        <w:t>w</w:t>
      </w:r>
      <w:r>
        <w:rPr>
          <w:spacing w:val="-8"/>
        </w:rPr>
        <w:t> </w:t>
      </w:r>
      <w:r>
        <w:rPr/>
        <w:t>celu</w:t>
      </w:r>
      <w:r>
        <w:rPr>
          <w:spacing w:val="-8"/>
        </w:rPr>
        <w:t> </w:t>
      </w:r>
      <w:r>
        <w:rPr/>
        <w:t>uzupełnienia</w:t>
      </w:r>
      <w:r>
        <w:rPr>
          <w:spacing w:val="-7"/>
        </w:rPr>
        <w:t> </w:t>
      </w:r>
      <w:r>
        <w:rPr/>
        <w:t>informacji</w:t>
      </w:r>
      <w:r>
        <w:rPr>
          <w:spacing w:val="-7"/>
        </w:rPr>
        <w:t> </w:t>
      </w:r>
      <w:r>
        <w:rPr/>
        <w:t>dla</w:t>
      </w:r>
      <w:r>
        <w:rPr>
          <w:spacing w:val="-8"/>
        </w:rPr>
        <w:t> </w:t>
      </w:r>
      <w:r>
        <w:rPr/>
        <w:t>kierujących</w:t>
      </w:r>
      <w:r>
        <w:rPr>
          <w:spacing w:val="-7"/>
        </w:rPr>
        <w:t> </w:t>
      </w:r>
      <w:r>
        <w:rPr/>
        <w:t>o</w:t>
      </w:r>
      <w:r>
        <w:rPr>
          <w:spacing w:val="-8"/>
        </w:rPr>
        <w:t> </w:t>
      </w:r>
      <w:r>
        <w:rPr/>
        <w:t>zbliżaniu</w:t>
      </w:r>
      <w:r>
        <w:rPr>
          <w:spacing w:val="-7"/>
        </w:rPr>
        <w:t> </w:t>
      </w:r>
      <w:r>
        <w:rPr/>
        <w:t>się</w:t>
      </w:r>
      <w:r>
        <w:rPr>
          <w:spacing w:val="-8"/>
        </w:rPr>
        <w:t> </w:t>
      </w:r>
      <w:r>
        <w:rPr/>
        <w:t>do wyjazdu z autostrady lub drogi ekspresowej w węźle o określonym</w:t>
      </w:r>
      <w:r>
        <w:rPr>
          <w:spacing w:val="-29"/>
        </w:rPr>
        <w:t> </w:t>
      </w:r>
      <w:r>
        <w:rPr/>
        <w:t>numerze.</w:t>
      </w:r>
    </w:p>
    <w:p>
      <w:pPr>
        <w:pStyle w:val="BodyText"/>
        <w:spacing w:line="360" w:lineRule="auto" w:before="5"/>
        <w:ind w:left="1121" w:right="112"/>
        <w:jc w:val="both"/>
      </w:pPr>
      <w:r>
        <w:rPr/>
        <w:t>Znak E-20a oznaczający numer węzła na autostradzie ma tło barwy niebieskiej, a oznaczający numer węzła na drodze ekspresowej ma  tło  barwy  zielonej  (rys.</w:t>
      </w:r>
      <w:r>
        <w:rPr>
          <w:spacing w:val="-1"/>
        </w:rPr>
        <w:t> </w:t>
      </w:r>
      <w:r>
        <w:rPr/>
        <w:t>6.3.11a.1).</w:t>
      </w:r>
    </w:p>
    <w:p>
      <w:pPr>
        <w:pStyle w:val="BodyText"/>
        <w:spacing w:before="5"/>
        <w:ind w:left="1121"/>
        <w:jc w:val="both"/>
      </w:pPr>
      <w:r>
        <w:rPr/>
        <w:drawing>
          <wp:anchor distT="0" distB="0" distL="0" distR="0" allowOverlap="1" layoutInCell="1" locked="0" behindDoc="0" simplePos="0" relativeHeight="1264">
            <wp:simplePos x="0" y="0"/>
            <wp:positionH relativeFrom="page">
              <wp:posOffset>1778635</wp:posOffset>
            </wp:positionH>
            <wp:positionV relativeFrom="paragraph">
              <wp:posOffset>266041</wp:posOffset>
            </wp:positionV>
            <wp:extent cx="1073814" cy="378047"/>
            <wp:effectExtent l="0" t="0" r="0" b="0"/>
            <wp:wrapTopAndBottom/>
            <wp:docPr id="33" name="image17.png" descr=""/>
            <wp:cNvGraphicFramePr>
              <a:graphicFrameLocks noChangeAspect="1"/>
            </wp:cNvGraphicFramePr>
            <a:graphic>
              <a:graphicData uri="http://schemas.openxmlformats.org/drawingml/2006/picture">
                <pic:pic>
                  <pic:nvPicPr>
                    <pic:cNvPr id="34" name="image17.png"/>
                    <pic:cNvPicPr/>
                  </pic:nvPicPr>
                  <pic:blipFill>
                    <a:blip r:embed="rId22" cstate="print"/>
                    <a:stretch>
                      <a:fillRect/>
                    </a:stretch>
                  </pic:blipFill>
                  <pic:spPr>
                    <a:xfrm>
                      <a:off x="0" y="0"/>
                      <a:ext cx="1073814" cy="378047"/>
                    </a:xfrm>
                    <a:prstGeom prst="rect">
                      <a:avLst/>
                    </a:prstGeom>
                  </pic:spPr>
                </pic:pic>
              </a:graphicData>
            </a:graphic>
          </wp:anchor>
        </w:drawing>
      </w:r>
      <w:r>
        <w:rPr/>
        <w:t>Rys. 6.3.11a.1. Znak E-20a oznaczający numer węzła:</w:t>
      </w:r>
    </w:p>
    <w:p>
      <w:pPr>
        <w:pStyle w:val="ListParagraph"/>
        <w:numPr>
          <w:ilvl w:val="0"/>
          <w:numId w:val="8"/>
        </w:numPr>
        <w:tabs>
          <w:tab w:pos="1428" w:val="left" w:leader="none"/>
        </w:tabs>
        <w:spacing w:line="240" w:lineRule="auto" w:before="114" w:after="138"/>
        <w:ind w:left="1427" w:right="0" w:hanging="306"/>
        <w:jc w:val="both"/>
        <w:rPr>
          <w:sz w:val="24"/>
        </w:rPr>
      </w:pPr>
      <w:r>
        <w:rPr>
          <w:sz w:val="24"/>
        </w:rPr>
        <w:t>na</w:t>
      </w:r>
      <w:r>
        <w:rPr>
          <w:spacing w:val="-12"/>
          <w:sz w:val="24"/>
        </w:rPr>
        <w:t> </w:t>
      </w:r>
      <w:r>
        <w:rPr>
          <w:sz w:val="24"/>
        </w:rPr>
        <w:t>autostradzie</w:t>
      </w:r>
    </w:p>
    <w:p>
      <w:pPr>
        <w:pStyle w:val="BodyText"/>
        <w:ind w:left="1121"/>
        <w:rPr>
          <w:sz w:val="20"/>
        </w:rPr>
      </w:pPr>
      <w:r>
        <w:rPr>
          <w:sz w:val="20"/>
        </w:rPr>
        <w:drawing>
          <wp:inline distT="0" distB="0" distL="0" distR="0">
            <wp:extent cx="1073814" cy="378047"/>
            <wp:effectExtent l="0" t="0" r="0" b="0"/>
            <wp:docPr id="35" name="image18.jpeg" descr=""/>
            <wp:cNvGraphicFramePr>
              <a:graphicFrameLocks noChangeAspect="1"/>
            </wp:cNvGraphicFramePr>
            <a:graphic>
              <a:graphicData uri="http://schemas.openxmlformats.org/drawingml/2006/picture">
                <pic:pic>
                  <pic:nvPicPr>
                    <pic:cNvPr id="36" name="image18.jpeg"/>
                    <pic:cNvPicPr/>
                  </pic:nvPicPr>
                  <pic:blipFill>
                    <a:blip r:embed="rId23" cstate="print"/>
                    <a:stretch>
                      <a:fillRect/>
                    </a:stretch>
                  </pic:blipFill>
                  <pic:spPr>
                    <a:xfrm>
                      <a:off x="0" y="0"/>
                      <a:ext cx="1073814" cy="378047"/>
                    </a:xfrm>
                    <a:prstGeom prst="rect">
                      <a:avLst/>
                    </a:prstGeom>
                  </pic:spPr>
                </pic:pic>
              </a:graphicData>
            </a:graphic>
          </wp:inline>
        </w:drawing>
      </w:r>
      <w:r>
        <w:rPr>
          <w:sz w:val="20"/>
        </w:rPr>
      </w:r>
    </w:p>
    <w:p>
      <w:pPr>
        <w:pStyle w:val="ListParagraph"/>
        <w:numPr>
          <w:ilvl w:val="0"/>
          <w:numId w:val="8"/>
        </w:numPr>
        <w:tabs>
          <w:tab w:pos="1381" w:val="left" w:leader="none"/>
        </w:tabs>
        <w:spacing w:line="240" w:lineRule="auto" w:before="142" w:after="0"/>
        <w:ind w:left="1380" w:right="0" w:hanging="259"/>
        <w:jc w:val="both"/>
        <w:rPr>
          <w:sz w:val="24"/>
        </w:rPr>
      </w:pPr>
      <w:r>
        <w:rPr>
          <w:sz w:val="24"/>
        </w:rPr>
        <w:t>na drodze</w:t>
      </w:r>
      <w:r>
        <w:rPr>
          <w:spacing w:val="-14"/>
          <w:sz w:val="24"/>
        </w:rPr>
        <w:t> </w:t>
      </w:r>
      <w:r>
        <w:rPr>
          <w:sz w:val="24"/>
        </w:rPr>
        <w:t>ekspresowej.</w:t>
      </w:r>
    </w:p>
    <w:p>
      <w:pPr>
        <w:pStyle w:val="BodyText"/>
        <w:spacing w:line="360" w:lineRule="auto" w:before="137"/>
        <w:ind w:left="1121" w:right="112"/>
        <w:jc w:val="both"/>
      </w:pPr>
      <w:r>
        <w:rPr/>
        <w:t>Znak E-20a umieszcza się razem z tablicami E-1a i E-1c oraz drogowskazami E-2d i E-3 w sposób przedstawiony na rysunkach od 6.3.1.8, 6.3.1.9, 6.3.1.9a, 6.3.2.8 i 6.3.2.11.”,</w:t>
      </w:r>
    </w:p>
    <w:p>
      <w:pPr>
        <w:pStyle w:val="ListParagraph"/>
        <w:numPr>
          <w:ilvl w:val="0"/>
          <w:numId w:val="2"/>
        </w:numPr>
        <w:tabs>
          <w:tab w:pos="1121" w:val="left" w:leader="none"/>
          <w:tab w:pos="1122" w:val="left" w:leader="none"/>
        </w:tabs>
        <w:spacing w:line="240" w:lineRule="auto" w:before="5" w:after="0"/>
        <w:ind w:left="1122" w:right="0" w:hanging="397"/>
        <w:jc w:val="left"/>
        <w:rPr>
          <w:sz w:val="24"/>
        </w:rPr>
      </w:pPr>
      <w:r>
        <w:rPr>
          <w:sz w:val="24"/>
        </w:rPr>
        <w:t>pkt 6.4.2.1 otrzymuje</w:t>
      </w:r>
      <w:r>
        <w:rPr>
          <w:spacing w:val="-2"/>
          <w:sz w:val="24"/>
        </w:rPr>
        <w:t> </w:t>
      </w:r>
      <w:r>
        <w:rPr>
          <w:sz w:val="24"/>
        </w:rPr>
        <w:t>brzmienie:</w:t>
      </w:r>
    </w:p>
    <w:p>
      <w:pPr>
        <w:pStyle w:val="Heading1"/>
        <w:spacing w:before="138"/>
        <w:jc w:val="both"/>
      </w:pPr>
      <w:r>
        <w:rPr>
          <w:b w:val="0"/>
        </w:rPr>
        <w:t>„</w:t>
      </w:r>
      <w:r>
        <w:rPr/>
        <w:t>6.4.2.1. Oznakowanie jezdni głównej autostrady w obszarze węzła</w:t>
      </w:r>
    </w:p>
    <w:p>
      <w:pPr>
        <w:pStyle w:val="BodyText"/>
        <w:spacing w:line="360" w:lineRule="auto" w:before="138"/>
        <w:ind w:left="1121" w:right="112"/>
        <w:jc w:val="both"/>
      </w:pPr>
      <w:r>
        <w:rPr/>
        <w:t>Do oznakowania jezdni głównej autostrady w obszarze węzła stosuje się następujące  znaki   oraz   urządzenia   bezpieczeństwa   ruchu   drogowego (rys.</w:t>
      </w:r>
      <w:r>
        <w:rPr>
          <w:spacing w:val="-1"/>
        </w:rPr>
        <w:t> </w:t>
      </w:r>
      <w:r>
        <w:rPr/>
        <w:t>6.4.2.1):</w:t>
      </w:r>
    </w:p>
    <w:p>
      <w:pPr>
        <w:pStyle w:val="ListParagraph"/>
        <w:numPr>
          <w:ilvl w:val="1"/>
          <w:numId w:val="2"/>
        </w:numPr>
        <w:tabs>
          <w:tab w:pos="1518" w:val="left" w:leader="none"/>
        </w:tabs>
        <w:spacing w:line="360" w:lineRule="auto" w:before="5" w:after="0"/>
        <w:ind w:left="1518" w:right="112" w:hanging="397"/>
        <w:jc w:val="both"/>
        <w:rPr>
          <w:sz w:val="24"/>
        </w:rPr>
      </w:pPr>
      <w:r>
        <w:rPr>
          <w:sz w:val="24"/>
        </w:rPr>
        <w:t>E-20 umieszczany  3000  m  przed  początkiem  pasa  wyłączania;  jeżeli  ze względu na niewielkie odcinki międzywęzłowe odległość umieszczania znaku nie może być zachowana, umieszcza się go w odległości 50–100 m za tablicą szlaku drogowego poprzedniego węzła; znaku można nie stosować, jeżeli odległość jego umieszczenia od początku pasa wyłączania byłaby mniejsza niż 2000</w:t>
      </w:r>
      <w:r>
        <w:rPr>
          <w:spacing w:val="-9"/>
          <w:sz w:val="24"/>
        </w:rPr>
        <w:t> </w:t>
      </w:r>
      <w:r>
        <w:rPr>
          <w:sz w:val="24"/>
        </w:rPr>
        <w:t>m,</w:t>
      </w:r>
    </w:p>
    <w:p>
      <w:pPr>
        <w:pStyle w:val="ListParagraph"/>
        <w:numPr>
          <w:ilvl w:val="1"/>
          <w:numId w:val="2"/>
        </w:numPr>
        <w:tabs>
          <w:tab w:pos="1518" w:val="left" w:leader="none"/>
        </w:tabs>
        <w:spacing w:line="240" w:lineRule="auto" w:before="5" w:after="0"/>
        <w:ind w:left="1518" w:right="0" w:hanging="397"/>
        <w:jc w:val="both"/>
        <w:rPr>
          <w:sz w:val="24"/>
        </w:rPr>
      </w:pPr>
      <w:r>
        <w:rPr>
          <w:sz w:val="24"/>
        </w:rPr>
        <w:t>E-1a  I  ze  znakiem  E-20a  umieszczany  w  odległości  1500  m      </w:t>
      </w:r>
      <w:r>
        <w:rPr>
          <w:spacing w:val="28"/>
          <w:sz w:val="24"/>
        </w:rPr>
        <w:t> </w:t>
      </w:r>
      <w:r>
        <w:rPr>
          <w:sz w:val="24"/>
        </w:rPr>
        <w:t>przed</w:t>
      </w:r>
    </w:p>
    <w:p>
      <w:pPr>
        <w:pStyle w:val="BodyText"/>
        <w:spacing w:before="138"/>
        <w:ind w:left="1518"/>
      </w:pPr>
      <w:r>
        <w:rPr/>
        <w:t>początkiem pasa wyłączania,</w:t>
      </w:r>
    </w:p>
    <w:p>
      <w:pPr>
        <w:pStyle w:val="ListParagraph"/>
        <w:numPr>
          <w:ilvl w:val="1"/>
          <w:numId w:val="2"/>
        </w:numPr>
        <w:tabs>
          <w:tab w:pos="1518" w:val="left" w:leader="none"/>
        </w:tabs>
        <w:spacing w:line="240" w:lineRule="auto" w:before="138" w:after="0"/>
        <w:ind w:left="1518" w:right="0" w:hanging="397"/>
        <w:jc w:val="both"/>
        <w:rPr>
          <w:sz w:val="24"/>
        </w:rPr>
      </w:pPr>
      <w:r>
        <w:rPr>
          <w:sz w:val="24"/>
        </w:rPr>
        <w:t>E-1a  II  ze  znakiem  E-20a  umieszczany  w  odległości  500  m       </w:t>
      </w:r>
      <w:r>
        <w:rPr>
          <w:spacing w:val="8"/>
          <w:sz w:val="24"/>
        </w:rPr>
        <w:t> </w:t>
      </w:r>
      <w:r>
        <w:rPr>
          <w:sz w:val="24"/>
        </w:rPr>
        <w:t>przed</w:t>
      </w:r>
    </w:p>
    <w:p>
      <w:pPr>
        <w:pStyle w:val="BodyText"/>
        <w:spacing w:before="138"/>
        <w:ind w:left="1518"/>
      </w:pPr>
      <w:r>
        <w:rPr/>
        <w:t>początkiem pasa wyłączania,</w:t>
      </w:r>
    </w:p>
    <w:p>
      <w:pPr>
        <w:pStyle w:val="ListParagraph"/>
        <w:numPr>
          <w:ilvl w:val="1"/>
          <w:numId w:val="2"/>
        </w:numPr>
        <w:tabs>
          <w:tab w:pos="1518" w:val="left" w:leader="none"/>
        </w:tabs>
        <w:spacing w:line="240" w:lineRule="auto" w:before="138" w:after="0"/>
        <w:ind w:left="1518" w:right="0" w:hanging="397"/>
        <w:jc w:val="both"/>
        <w:rPr>
          <w:sz w:val="24"/>
        </w:rPr>
      </w:pPr>
      <w:r>
        <w:rPr>
          <w:sz w:val="24"/>
        </w:rPr>
        <w:t>F-14a,</w:t>
      </w:r>
      <w:r>
        <w:rPr>
          <w:spacing w:val="42"/>
          <w:sz w:val="24"/>
        </w:rPr>
        <w:t> </w:t>
      </w:r>
      <w:r>
        <w:rPr>
          <w:sz w:val="24"/>
        </w:rPr>
        <w:t>F-14b,</w:t>
      </w:r>
      <w:r>
        <w:rPr>
          <w:spacing w:val="42"/>
          <w:sz w:val="24"/>
        </w:rPr>
        <w:t> </w:t>
      </w:r>
      <w:r>
        <w:rPr>
          <w:sz w:val="24"/>
        </w:rPr>
        <w:t>F-14c</w:t>
      </w:r>
      <w:r>
        <w:rPr>
          <w:spacing w:val="42"/>
          <w:sz w:val="24"/>
        </w:rPr>
        <w:t> </w:t>
      </w:r>
      <w:r>
        <w:rPr>
          <w:sz w:val="24"/>
        </w:rPr>
        <w:t>umieszczane</w:t>
      </w:r>
      <w:r>
        <w:rPr>
          <w:spacing w:val="42"/>
          <w:sz w:val="24"/>
        </w:rPr>
        <w:t> </w:t>
      </w:r>
      <w:r>
        <w:rPr>
          <w:sz w:val="24"/>
        </w:rPr>
        <w:t>w</w:t>
      </w:r>
      <w:r>
        <w:rPr>
          <w:spacing w:val="42"/>
          <w:sz w:val="24"/>
        </w:rPr>
        <w:t> </w:t>
      </w:r>
      <w:r>
        <w:rPr>
          <w:sz w:val="24"/>
        </w:rPr>
        <w:t>odległości</w:t>
      </w:r>
      <w:r>
        <w:rPr>
          <w:spacing w:val="43"/>
          <w:sz w:val="24"/>
        </w:rPr>
        <w:t> </w:t>
      </w:r>
      <w:r>
        <w:rPr>
          <w:sz w:val="24"/>
        </w:rPr>
        <w:t>300,</w:t>
      </w:r>
      <w:r>
        <w:rPr>
          <w:spacing w:val="42"/>
          <w:sz w:val="24"/>
        </w:rPr>
        <w:t> </w:t>
      </w:r>
      <w:r>
        <w:rPr>
          <w:sz w:val="24"/>
        </w:rPr>
        <w:t>200</w:t>
      </w:r>
      <w:r>
        <w:rPr>
          <w:spacing w:val="42"/>
          <w:sz w:val="24"/>
        </w:rPr>
        <w:t> </w:t>
      </w:r>
      <w:r>
        <w:rPr>
          <w:sz w:val="24"/>
        </w:rPr>
        <w:t>i</w:t>
      </w:r>
      <w:r>
        <w:rPr>
          <w:spacing w:val="42"/>
          <w:sz w:val="24"/>
        </w:rPr>
        <w:t> </w:t>
      </w:r>
      <w:r>
        <w:rPr>
          <w:sz w:val="24"/>
        </w:rPr>
        <w:t>100</w:t>
      </w:r>
      <w:r>
        <w:rPr>
          <w:spacing w:val="42"/>
          <w:sz w:val="24"/>
        </w:rPr>
        <w:t> </w:t>
      </w:r>
      <w:r>
        <w:rPr>
          <w:sz w:val="24"/>
        </w:rPr>
        <w:t>m</w:t>
      </w:r>
      <w:r>
        <w:rPr>
          <w:spacing w:val="42"/>
          <w:sz w:val="24"/>
        </w:rPr>
        <w:t> </w:t>
      </w:r>
      <w:r>
        <w:rPr>
          <w:sz w:val="24"/>
        </w:rPr>
        <w:t>przed</w:t>
      </w:r>
    </w:p>
    <w:p>
      <w:pPr>
        <w:pStyle w:val="BodyText"/>
        <w:spacing w:before="138"/>
        <w:ind w:left="1518"/>
      </w:pPr>
      <w:r>
        <w:rPr/>
        <w:t>początkiem pasa wyłączania,</w:t>
      </w:r>
    </w:p>
    <w:p>
      <w:pPr>
        <w:spacing w:after="0"/>
        <w:sectPr>
          <w:pgSz w:w="11910" w:h="16840"/>
          <w:pgMar w:header="719" w:footer="0" w:top="980" w:bottom="280" w:left="1680" w:right="1320"/>
        </w:sectPr>
      </w:pPr>
    </w:p>
    <w:p>
      <w:pPr>
        <w:pStyle w:val="BodyText"/>
        <w:rPr>
          <w:sz w:val="20"/>
        </w:rPr>
      </w:pPr>
    </w:p>
    <w:p>
      <w:pPr>
        <w:pStyle w:val="BodyText"/>
        <w:spacing w:before="2"/>
        <w:rPr>
          <w:sz w:val="22"/>
        </w:rPr>
      </w:pPr>
    </w:p>
    <w:p>
      <w:pPr>
        <w:pStyle w:val="ListParagraph"/>
        <w:numPr>
          <w:ilvl w:val="1"/>
          <w:numId w:val="2"/>
        </w:numPr>
        <w:tabs>
          <w:tab w:pos="1518" w:val="left" w:leader="none"/>
        </w:tabs>
        <w:spacing w:line="360" w:lineRule="auto" w:before="90" w:after="0"/>
        <w:ind w:left="1518" w:right="112" w:hanging="397"/>
        <w:jc w:val="both"/>
        <w:rPr>
          <w:sz w:val="24"/>
        </w:rPr>
      </w:pPr>
      <w:r>
        <w:rPr>
          <w:sz w:val="24"/>
        </w:rPr>
        <w:t>E-2d ze znakiem E-20a umieszczany na wysokości osiągnięcia pełnej szerokości pasa wyłączenia i rozmieszczony na całym przekroju jezdni autostrady,</w:t>
      </w:r>
    </w:p>
    <w:p>
      <w:pPr>
        <w:pStyle w:val="ListParagraph"/>
        <w:numPr>
          <w:ilvl w:val="1"/>
          <w:numId w:val="2"/>
        </w:numPr>
        <w:tabs>
          <w:tab w:pos="1518" w:val="left" w:leader="none"/>
        </w:tabs>
        <w:spacing w:line="360" w:lineRule="auto" w:before="5" w:after="0"/>
        <w:ind w:left="1518" w:right="112" w:hanging="397"/>
        <w:jc w:val="both"/>
        <w:rPr>
          <w:sz w:val="24"/>
        </w:rPr>
      </w:pPr>
      <w:r>
        <w:rPr>
          <w:sz w:val="24"/>
        </w:rPr>
        <w:t>U-4 umieszczana za wyjazdem na wysepce w miejscu, w którym wysepka ma szerokość co najmniej 1,6</w:t>
      </w:r>
      <w:r>
        <w:rPr>
          <w:spacing w:val="-7"/>
          <w:sz w:val="24"/>
        </w:rPr>
        <w:t> </w:t>
      </w:r>
      <w:r>
        <w:rPr>
          <w:sz w:val="24"/>
        </w:rPr>
        <w:t>m,</w:t>
      </w:r>
    </w:p>
    <w:p>
      <w:pPr>
        <w:pStyle w:val="ListParagraph"/>
        <w:numPr>
          <w:ilvl w:val="1"/>
          <w:numId w:val="2"/>
        </w:numPr>
        <w:tabs>
          <w:tab w:pos="1518" w:val="left" w:leader="none"/>
        </w:tabs>
        <w:spacing w:line="240" w:lineRule="auto" w:before="5" w:after="0"/>
        <w:ind w:left="1518" w:right="0" w:hanging="397"/>
        <w:jc w:val="both"/>
        <w:rPr>
          <w:sz w:val="24"/>
        </w:rPr>
      </w:pPr>
      <w:r>
        <w:rPr>
          <w:sz w:val="24"/>
        </w:rPr>
        <w:t>E-3  ze  znakiem  E-20a  umieszczany  za  wyjazdem  na  wysepce,  </w:t>
      </w:r>
      <w:r>
        <w:rPr>
          <w:spacing w:val="29"/>
          <w:sz w:val="24"/>
        </w:rPr>
        <w:t> </w:t>
      </w:r>
      <w:r>
        <w:rPr>
          <w:sz w:val="24"/>
        </w:rPr>
        <w:t>chyba</w:t>
      </w:r>
    </w:p>
    <w:p>
      <w:pPr>
        <w:pStyle w:val="BodyText"/>
        <w:spacing w:before="138"/>
        <w:ind w:left="1518"/>
      </w:pPr>
      <w:r>
        <w:rPr/>
        <w:t>że ukształtowanie wyjazdu nie pozwala na jego zastosowanie,</w:t>
      </w:r>
    </w:p>
    <w:p>
      <w:pPr>
        <w:pStyle w:val="ListParagraph"/>
        <w:numPr>
          <w:ilvl w:val="1"/>
          <w:numId w:val="2"/>
        </w:numPr>
        <w:tabs>
          <w:tab w:pos="1518" w:val="left" w:leader="none"/>
        </w:tabs>
        <w:spacing w:line="360" w:lineRule="auto" w:before="138" w:after="0"/>
        <w:ind w:left="1518" w:right="111" w:hanging="397"/>
        <w:jc w:val="both"/>
        <w:rPr>
          <w:sz w:val="24"/>
        </w:rPr>
      </w:pPr>
      <w:r>
        <w:rPr>
          <w:sz w:val="24"/>
        </w:rPr>
        <w:t>A-6d umieszczany przed każdym wjazdem na autostradę w odległości</w:t>
      </w:r>
      <w:r>
        <w:rPr>
          <w:spacing w:val="-25"/>
          <w:sz w:val="24"/>
        </w:rPr>
        <w:t> </w:t>
      </w:r>
      <w:r>
        <w:rPr>
          <w:sz w:val="24"/>
        </w:rPr>
        <w:t>150– 300 m; jeżeli odległość ta jest mniejsza od 150 m, pod znakiem umieszcza się tabliczkę</w:t>
      </w:r>
      <w:r>
        <w:rPr>
          <w:spacing w:val="-6"/>
          <w:sz w:val="24"/>
        </w:rPr>
        <w:t> </w:t>
      </w:r>
      <w:r>
        <w:rPr>
          <w:sz w:val="24"/>
        </w:rPr>
        <w:t>T-1,</w:t>
      </w:r>
    </w:p>
    <w:p>
      <w:pPr>
        <w:pStyle w:val="ListParagraph"/>
        <w:numPr>
          <w:ilvl w:val="1"/>
          <w:numId w:val="2"/>
        </w:numPr>
        <w:tabs>
          <w:tab w:pos="1518" w:val="left" w:leader="none"/>
        </w:tabs>
        <w:spacing w:line="240" w:lineRule="auto" w:before="5" w:after="0"/>
        <w:ind w:left="1518" w:right="0" w:hanging="397"/>
        <w:jc w:val="both"/>
        <w:rPr>
          <w:sz w:val="24"/>
        </w:rPr>
      </w:pPr>
      <w:r>
        <w:rPr>
          <w:sz w:val="24"/>
        </w:rPr>
        <w:t>E-14 umieszczany za wjazdem na autostradę w odległości 300 m od </w:t>
      </w:r>
      <w:r>
        <w:rPr>
          <w:spacing w:val="19"/>
          <w:sz w:val="24"/>
        </w:rPr>
        <w:t> </w:t>
      </w:r>
      <w:r>
        <w:rPr>
          <w:sz w:val="24"/>
        </w:rPr>
        <w:t>końca</w:t>
      </w:r>
    </w:p>
    <w:p>
      <w:pPr>
        <w:pStyle w:val="BodyText"/>
        <w:spacing w:before="138"/>
        <w:ind w:left="1518"/>
      </w:pPr>
      <w:r>
        <w:rPr/>
        <w:t>pasa włączania.</w:t>
      </w:r>
    </w:p>
    <w:p>
      <w:pPr>
        <w:pStyle w:val="BodyText"/>
        <w:spacing w:line="360" w:lineRule="auto" w:before="138"/>
        <w:ind w:left="1120" w:right="112"/>
        <w:jc w:val="both"/>
      </w:pPr>
      <w:r>
        <w:rPr/>
        <w:t>Dodatkowo, przed każdym wjazdem na jezdnię główną autostrady, na łącznicy, jezdni zbierająco-rozprowadzającej lub dodatkowej jezdni umieszcza się znak A-7 ze znakiem C-5.</w:t>
      </w:r>
    </w:p>
    <w:p>
      <w:pPr>
        <w:spacing w:after="0" w:line="360" w:lineRule="auto"/>
        <w:jc w:val="both"/>
        <w:sectPr>
          <w:pgSz w:w="11910" w:h="16840"/>
          <w:pgMar w:header="719" w:footer="0" w:top="980" w:bottom="280" w:left="1680" w:right="1320"/>
        </w:sectPr>
      </w:pPr>
    </w:p>
    <w:p>
      <w:pPr>
        <w:pStyle w:val="BodyText"/>
        <w:rPr>
          <w:sz w:val="20"/>
        </w:rPr>
      </w:pPr>
    </w:p>
    <w:p>
      <w:pPr>
        <w:pStyle w:val="BodyText"/>
        <w:rPr>
          <w:sz w:val="20"/>
        </w:rPr>
      </w:pPr>
    </w:p>
    <w:p>
      <w:pPr>
        <w:pStyle w:val="BodyText"/>
        <w:rPr>
          <w:sz w:val="20"/>
        </w:rPr>
      </w:pPr>
    </w:p>
    <w:p>
      <w:pPr>
        <w:pStyle w:val="BodyText"/>
        <w:rPr>
          <w:sz w:val="26"/>
        </w:rPr>
      </w:pPr>
    </w:p>
    <w:p>
      <w:pPr>
        <w:pStyle w:val="BodyText"/>
        <w:ind w:left="1121"/>
        <w:rPr>
          <w:sz w:val="20"/>
        </w:rPr>
      </w:pPr>
      <w:r>
        <w:rPr>
          <w:sz w:val="20"/>
        </w:rPr>
        <w:drawing>
          <wp:inline distT="0" distB="0" distL="0" distR="0">
            <wp:extent cx="4851469" cy="7063740"/>
            <wp:effectExtent l="0" t="0" r="0" b="0"/>
            <wp:docPr id="37" name="image19.jpeg" descr=""/>
            <wp:cNvGraphicFramePr>
              <a:graphicFrameLocks noChangeAspect="1"/>
            </wp:cNvGraphicFramePr>
            <a:graphic>
              <a:graphicData uri="http://schemas.openxmlformats.org/drawingml/2006/picture">
                <pic:pic>
                  <pic:nvPicPr>
                    <pic:cNvPr id="38" name="image19.jpeg"/>
                    <pic:cNvPicPr/>
                  </pic:nvPicPr>
                  <pic:blipFill>
                    <a:blip r:embed="rId24" cstate="print"/>
                    <a:stretch>
                      <a:fillRect/>
                    </a:stretch>
                  </pic:blipFill>
                  <pic:spPr>
                    <a:xfrm>
                      <a:off x="0" y="0"/>
                      <a:ext cx="4851469" cy="7063740"/>
                    </a:xfrm>
                    <a:prstGeom prst="rect">
                      <a:avLst/>
                    </a:prstGeom>
                  </pic:spPr>
                </pic:pic>
              </a:graphicData>
            </a:graphic>
          </wp:inline>
        </w:drawing>
      </w:r>
      <w:r>
        <w:rPr>
          <w:sz w:val="20"/>
        </w:rPr>
      </w:r>
    </w:p>
    <w:p>
      <w:pPr>
        <w:pStyle w:val="BodyText"/>
        <w:spacing w:before="157"/>
        <w:ind w:left="1121"/>
      </w:pPr>
      <w:r>
        <w:rPr/>
        <w:t>Rys.  6.4.2.1.  Schemat  oznakowania  jezdni  głównej  autostrady  w   obszarze</w:t>
      </w:r>
    </w:p>
    <w:p>
      <w:pPr>
        <w:pStyle w:val="BodyText"/>
        <w:spacing w:before="137"/>
        <w:ind w:left="1121"/>
      </w:pPr>
      <w:r>
        <w:rPr/>
        <w:t>węzła”,</w:t>
      </w:r>
    </w:p>
    <w:p>
      <w:pPr>
        <w:pStyle w:val="ListParagraph"/>
        <w:numPr>
          <w:ilvl w:val="0"/>
          <w:numId w:val="2"/>
        </w:numPr>
        <w:tabs>
          <w:tab w:pos="1121" w:val="left" w:leader="none"/>
          <w:tab w:pos="1122" w:val="left" w:leader="none"/>
        </w:tabs>
        <w:spacing w:line="240" w:lineRule="auto" w:before="137" w:after="0"/>
        <w:ind w:left="1122" w:right="0" w:hanging="397"/>
        <w:jc w:val="left"/>
        <w:rPr>
          <w:sz w:val="24"/>
        </w:rPr>
      </w:pPr>
      <w:r>
        <w:rPr>
          <w:sz w:val="24"/>
        </w:rPr>
        <w:t>pkt 6.4.2.2 otrzymuje</w:t>
      </w:r>
      <w:r>
        <w:rPr>
          <w:spacing w:val="-2"/>
          <w:sz w:val="24"/>
        </w:rPr>
        <w:t> </w:t>
      </w:r>
      <w:r>
        <w:rPr>
          <w:sz w:val="24"/>
        </w:rPr>
        <w:t>brzmienie:</w:t>
      </w:r>
    </w:p>
    <w:p>
      <w:pPr>
        <w:pStyle w:val="Heading1"/>
      </w:pPr>
      <w:r>
        <w:rPr>
          <w:b w:val="0"/>
        </w:rPr>
        <w:t>„</w:t>
      </w:r>
      <w:r>
        <w:rPr/>
        <w:t>6.4.2.2. Oznakowanie jezdni głównej drogi ekspresowej w obszarze węzła</w:t>
      </w:r>
    </w:p>
    <w:p>
      <w:pPr>
        <w:spacing w:after="0"/>
        <w:sectPr>
          <w:pgSz w:w="11910" w:h="16840"/>
          <w:pgMar w:header="719" w:footer="0" w:top="980" w:bottom="280" w:left="1680" w:right="1320"/>
        </w:sectPr>
      </w:pPr>
    </w:p>
    <w:p>
      <w:pPr>
        <w:pStyle w:val="BodyText"/>
        <w:rPr>
          <w:b/>
          <w:sz w:val="20"/>
        </w:rPr>
      </w:pPr>
    </w:p>
    <w:p>
      <w:pPr>
        <w:pStyle w:val="BodyText"/>
        <w:spacing w:before="2"/>
        <w:rPr>
          <w:b/>
          <w:sz w:val="22"/>
        </w:rPr>
      </w:pPr>
    </w:p>
    <w:p>
      <w:pPr>
        <w:pStyle w:val="BodyText"/>
        <w:spacing w:line="360" w:lineRule="auto" w:before="90"/>
        <w:ind w:left="1121" w:right="112"/>
        <w:jc w:val="both"/>
      </w:pPr>
      <w:r>
        <w:rPr/>
        <w:t>Do</w:t>
      </w:r>
      <w:r>
        <w:rPr>
          <w:spacing w:val="-8"/>
        </w:rPr>
        <w:t> </w:t>
      </w:r>
      <w:r>
        <w:rPr/>
        <w:t>oznakowania</w:t>
      </w:r>
      <w:r>
        <w:rPr>
          <w:spacing w:val="-8"/>
        </w:rPr>
        <w:t> </w:t>
      </w:r>
      <w:r>
        <w:rPr/>
        <w:t>jezdni</w:t>
      </w:r>
      <w:r>
        <w:rPr>
          <w:spacing w:val="-7"/>
        </w:rPr>
        <w:t> </w:t>
      </w:r>
      <w:r>
        <w:rPr/>
        <w:t>głównej</w:t>
      </w:r>
      <w:r>
        <w:rPr>
          <w:spacing w:val="-7"/>
        </w:rPr>
        <w:t> </w:t>
      </w:r>
      <w:r>
        <w:rPr/>
        <w:t>drogi</w:t>
      </w:r>
      <w:r>
        <w:rPr>
          <w:spacing w:val="-8"/>
        </w:rPr>
        <w:t> </w:t>
      </w:r>
      <w:r>
        <w:rPr/>
        <w:t>ekspresowej</w:t>
      </w:r>
      <w:r>
        <w:rPr>
          <w:spacing w:val="-6"/>
        </w:rPr>
        <w:t> </w:t>
      </w:r>
      <w:r>
        <w:rPr/>
        <w:t>w</w:t>
      </w:r>
      <w:r>
        <w:rPr>
          <w:spacing w:val="-8"/>
        </w:rPr>
        <w:t> </w:t>
      </w:r>
      <w:r>
        <w:rPr/>
        <w:t>obszarze</w:t>
      </w:r>
      <w:r>
        <w:rPr>
          <w:spacing w:val="-8"/>
        </w:rPr>
        <w:t> </w:t>
      </w:r>
      <w:r>
        <w:rPr/>
        <w:t>węzła</w:t>
      </w:r>
      <w:r>
        <w:rPr>
          <w:spacing w:val="-7"/>
        </w:rPr>
        <w:t> </w:t>
      </w:r>
      <w:r>
        <w:rPr/>
        <w:t>stosuje</w:t>
      </w:r>
      <w:r>
        <w:rPr>
          <w:spacing w:val="-8"/>
        </w:rPr>
        <w:t> </w:t>
      </w:r>
      <w:r>
        <w:rPr/>
        <w:t>się następujące  znaki   oraz   urządzenia   bezpieczeństwa   ruchu   drogowego (rys.</w:t>
      </w:r>
      <w:r>
        <w:rPr>
          <w:spacing w:val="-1"/>
        </w:rPr>
        <w:t> </w:t>
      </w:r>
      <w:r>
        <w:rPr/>
        <w:t>6.4.2.2):</w:t>
      </w:r>
    </w:p>
    <w:p>
      <w:pPr>
        <w:pStyle w:val="ListParagraph"/>
        <w:numPr>
          <w:ilvl w:val="1"/>
          <w:numId w:val="2"/>
        </w:numPr>
        <w:tabs>
          <w:tab w:pos="1518" w:val="left" w:leader="none"/>
        </w:tabs>
        <w:spacing w:line="360" w:lineRule="auto" w:before="5" w:after="0"/>
        <w:ind w:left="1518" w:right="112" w:hanging="397"/>
        <w:jc w:val="both"/>
        <w:rPr>
          <w:sz w:val="24"/>
        </w:rPr>
      </w:pPr>
      <w:r>
        <w:rPr>
          <w:sz w:val="24"/>
        </w:rPr>
        <w:t>E-20 umieszczany  3000  m  przed  początkiem  pasa  wyłączania;  jeżeli  ze względu na niewielkie odcinki międzywęzłowe odległość umieszczania znaku nie może być zachowana, umieszcza się go w odległości 50–100 m za tablicą szlaku drogowego poprzedniego węzła; znaku można nie stosować, jeżeli odległość jego umieszczenia od początku pasa wyłączania byłaby mniejsza niż 1000</w:t>
      </w:r>
      <w:r>
        <w:rPr>
          <w:spacing w:val="-9"/>
          <w:sz w:val="24"/>
        </w:rPr>
        <w:t> </w:t>
      </w:r>
      <w:r>
        <w:rPr>
          <w:sz w:val="24"/>
        </w:rPr>
        <w:t>m,</w:t>
      </w:r>
    </w:p>
    <w:p>
      <w:pPr>
        <w:pStyle w:val="ListParagraph"/>
        <w:numPr>
          <w:ilvl w:val="1"/>
          <w:numId w:val="2"/>
        </w:numPr>
        <w:tabs>
          <w:tab w:pos="1518" w:val="left" w:leader="none"/>
        </w:tabs>
        <w:spacing w:line="240" w:lineRule="auto" w:before="5" w:after="0"/>
        <w:ind w:left="1518" w:right="0" w:hanging="397"/>
        <w:jc w:val="both"/>
        <w:rPr>
          <w:sz w:val="24"/>
        </w:rPr>
      </w:pPr>
      <w:r>
        <w:rPr>
          <w:sz w:val="24"/>
        </w:rPr>
        <w:t>E-1c ze znakiem E-20a umieszczany w odległości 500 m przed</w:t>
      </w:r>
      <w:r>
        <w:rPr>
          <w:spacing w:val="17"/>
          <w:sz w:val="24"/>
        </w:rPr>
        <w:t> </w:t>
      </w:r>
      <w:r>
        <w:rPr>
          <w:sz w:val="24"/>
        </w:rPr>
        <w:t>początkiem</w:t>
      </w:r>
    </w:p>
    <w:p>
      <w:pPr>
        <w:pStyle w:val="BodyText"/>
        <w:spacing w:before="138"/>
        <w:ind w:left="1518"/>
      </w:pPr>
      <w:r>
        <w:rPr/>
        <w:t>pasa wyłączania,</w:t>
      </w:r>
    </w:p>
    <w:p>
      <w:pPr>
        <w:pStyle w:val="ListParagraph"/>
        <w:numPr>
          <w:ilvl w:val="1"/>
          <w:numId w:val="2"/>
        </w:numPr>
        <w:tabs>
          <w:tab w:pos="1518" w:val="left" w:leader="none"/>
        </w:tabs>
        <w:spacing w:line="240" w:lineRule="auto" w:before="138" w:after="0"/>
        <w:ind w:left="1518" w:right="0" w:hanging="397"/>
        <w:jc w:val="both"/>
        <w:rPr>
          <w:sz w:val="24"/>
        </w:rPr>
      </w:pPr>
      <w:r>
        <w:rPr>
          <w:sz w:val="24"/>
        </w:rPr>
        <w:t>F-14d,</w:t>
      </w:r>
      <w:r>
        <w:rPr>
          <w:spacing w:val="45"/>
          <w:sz w:val="24"/>
        </w:rPr>
        <w:t> </w:t>
      </w:r>
      <w:r>
        <w:rPr>
          <w:sz w:val="24"/>
        </w:rPr>
        <w:t>F-14e,</w:t>
      </w:r>
      <w:r>
        <w:rPr>
          <w:spacing w:val="45"/>
          <w:sz w:val="24"/>
        </w:rPr>
        <w:t> </w:t>
      </w:r>
      <w:r>
        <w:rPr>
          <w:sz w:val="24"/>
        </w:rPr>
        <w:t>F-14f</w:t>
      </w:r>
      <w:r>
        <w:rPr>
          <w:spacing w:val="45"/>
          <w:sz w:val="24"/>
        </w:rPr>
        <w:t> </w:t>
      </w:r>
      <w:r>
        <w:rPr>
          <w:sz w:val="24"/>
        </w:rPr>
        <w:t>umieszczane</w:t>
      </w:r>
      <w:r>
        <w:rPr>
          <w:spacing w:val="44"/>
          <w:sz w:val="24"/>
        </w:rPr>
        <w:t> </w:t>
      </w:r>
      <w:r>
        <w:rPr>
          <w:sz w:val="24"/>
        </w:rPr>
        <w:t>w</w:t>
      </w:r>
      <w:r>
        <w:rPr>
          <w:spacing w:val="44"/>
          <w:sz w:val="24"/>
        </w:rPr>
        <w:t> </w:t>
      </w:r>
      <w:r>
        <w:rPr>
          <w:sz w:val="24"/>
        </w:rPr>
        <w:t>odległości</w:t>
      </w:r>
      <w:r>
        <w:rPr>
          <w:spacing w:val="45"/>
          <w:sz w:val="24"/>
        </w:rPr>
        <w:t> </w:t>
      </w:r>
      <w:r>
        <w:rPr>
          <w:sz w:val="24"/>
        </w:rPr>
        <w:t>300,</w:t>
      </w:r>
      <w:r>
        <w:rPr>
          <w:spacing w:val="44"/>
          <w:sz w:val="24"/>
        </w:rPr>
        <w:t> </w:t>
      </w:r>
      <w:r>
        <w:rPr>
          <w:sz w:val="24"/>
        </w:rPr>
        <w:t>200</w:t>
      </w:r>
      <w:r>
        <w:rPr>
          <w:spacing w:val="44"/>
          <w:sz w:val="24"/>
        </w:rPr>
        <w:t> </w:t>
      </w:r>
      <w:r>
        <w:rPr>
          <w:sz w:val="24"/>
        </w:rPr>
        <w:t>i</w:t>
      </w:r>
      <w:r>
        <w:rPr>
          <w:spacing w:val="44"/>
          <w:sz w:val="24"/>
        </w:rPr>
        <w:t> </w:t>
      </w:r>
      <w:r>
        <w:rPr>
          <w:sz w:val="24"/>
        </w:rPr>
        <w:t>100</w:t>
      </w:r>
      <w:r>
        <w:rPr>
          <w:spacing w:val="44"/>
          <w:sz w:val="24"/>
        </w:rPr>
        <w:t> </w:t>
      </w:r>
      <w:r>
        <w:rPr>
          <w:sz w:val="24"/>
        </w:rPr>
        <w:t>m</w:t>
      </w:r>
      <w:r>
        <w:rPr>
          <w:spacing w:val="44"/>
          <w:sz w:val="24"/>
        </w:rPr>
        <w:t> </w:t>
      </w:r>
      <w:r>
        <w:rPr>
          <w:sz w:val="24"/>
        </w:rPr>
        <w:t>przed</w:t>
      </w:r>
    </w:p>
    <w:p>
      <w:pPr>
        <w:pStyle w:val="BodyText"/>
        <w:spacing w:before="138"/>
        <w:ind w:left="1518"/>
      </w:pPr>
      <w:r>
        <w:rPr/>
        <w:t>początkiem pasa wyłączania,</w:t>
      </w:r>
    </w:p>
    <w:p>
      <w:pPr>
        <w:pStyle w:val="ListParagraph"/>
        <w:numPr>
          <w:ilvl w:val="1"/>
          <w:numId w:val="2"/>
        </w:numPr>
        <w:tabs>
          <w:tab w:pos="1518" w:val="left" w:leader="none"/>
        </w:tabs>
        <w:spacing w:line="360" w:lineRule="auto" w:before="138" w:after="0"/>
        <w:ind w:left="1518" w:right="111" w:hanging="397"/>
        <w:jc w:val="both"/>
        <w:rPr>
          <w:sz w:val="24"/>
        </w:rPr>
      </w:pPr>
      <w:r>
        <w:rPr>
          <w:sz w:val="24"/>
        </w:rPr>
        <w:t>E-2d ze znakiem E-20a umieszczany na wysokości osiągnięcia pełnej szerokości</w:t>
      </w:r>
      <w:r>
        <w:rPr>
          <w:spacing w:val="-14"/>
          <w:sz w:val="24"/>
        </w:rPr>
        <w:t> </w:t>
      </w:r>
      <w:r>
        <w:rPr>
          <w:sz w:val="24"/>
        </w:rPr>
        <w:t>pasa</w:t>
      </w:r>
      <w:r>
        <w:rPr>
          <w:spacing w:val="-14"/>
          <w:sz w:val="24"/>
        </w:rPr>
        <w:t> </w:t>
      </w:r>
      <w:r>
        <w:rPr>
          <w:sz w:val="24"/>
        </w:rPr>
        <w:t>wyłączenia</w:t>
      </w:r>
      <w:r>
        <w:rPr>
          <w:spacing w:val="-13"/>
          <w:sz w:val="24"/>
        </w:rPr>
        <w:t> </w:t>
      </w:r>
      <w:r>
        <w:rPr>
          <w:sz w:val="24"/>
        </w:rPr>
        <w:t>i</w:t>
      </w:r>
      <w:r>
        <w:rPr>
          <w:spacing w:val="-14"/>
          <w:sz w:val="24"/>
        </w:rPr>
        <w:t> </w:t>
      </w:r>
      <w:r>
        <w:rPr>
          <w:sz w:val="24"/>
        </w:rPr>
        <w:t>rozmieszczony</w:t>
      </w:r>
      <w:r>
        <w:rPr>
          <w:spacing w:val="-14"/>
          <w:sz w:val="24"/>
        </w:rPr>
        <w:t> </w:t>
      </w:r>
      <w:r>
        <w:rPr>
          <w:sz w:val="24"/>
        </w:rPr>
        <w:t>na</w:t>
      </w:r>
      <w:r>
        <w:rPr>
          <w:spacing w:val="-14"/>
          <w:sz w:val="24"/>
        </w:rPr>
        <w:t> </w:t>
      </w:r>
      <w:r>
        <w:rPr>
          <w:sz w:val="24"/>
        </w:rPr>
        <w:t>całym</w:t>
      </w:r>
      <w:r>
        <w:rPr>
          <w:spacing w:val="-14"/>
          <w:sz w:val="24"/>
        </w:rPr>
        <w:t> </w:t>
      </w:r>
      <w:r>
        <w:rPr>
          <w:sz w:val="24"/>
        </w:rPr>
        <w:t>przekroju</w:t>
      </w:r>
      <w:r>
        <w:rPr>
          <w:spacing w:val="-14"/>
          <w:sz w:val="24"/>
        </w:rPr>
        <w:t> </w:t>
      </w:r>
      <w:r>
        <w:rPr>
          <w:sz w:val="24"/>
        </w:rPr>
        <w:t>jezdni</w:t>
      </w:r>
      <w:r>
        <w:rPr>
          <w:spacing w:val="-13"/>
          <w:sz w:val="24"/>
        </w:rPr>
        <w:t> </w:t>
      </w:r>
      <w:r>
        <w:rPr>
          <w:sz w:val="24"/>
        </w:rPr>
        <w:t>drogi ekspresowej,</w:t>
      </w:r>
    </w:p>
    <w:p>
      <w:pPr>
        <w:pStyle w:val="ListParagraph"/>
        <w:numPr>
          <w:ilvl w:val="1"/>
          <w:numId w:val="2"/>
        </w:numPr>
        <w:tabs>
          <w:tab w:pos="1518" w:val="left" w:leader="none"/>
        </w:tabs>
        <w:spacing w:line="360" w:lineRule="auto" w:before="5" w:after="0"/>
        <w:ind w:left="1518" w:right="112" w:hanging="397"/>
        <w:jc w:val="both"/>
        <w:rPr>
          <w:sz w:val="24"/>
        </w:rPr>
      </w:pPr>
      <w:r>
        <w:rPr>
          <w:sz w:val="24"/>
        </w:rPr>
        <w:t>U-4 umieszczana za wyjazdem na wysepce w miejscu, w którym wysepka ma szerokość co najmniej 1,6</w:t>
      </w:r>
      <w:r>
        <w:rPr>
          <w:spacing w:val="-7"/>
          <w:sz w:val="24"/>
        </w:rPr>
        <w:t> </w:t>
      </w:r>
      <w:r>
        <w:rPr>
          <w:sz w:val="24"/>
        </w:rPr>
        <w:t>m,</w:t>
      </w:r>
    </w:p>
    <w:p>
      <w:pPr>
        <w:pStyle w:val="ListParagraph"/>
        <w:numPr>
          <w:ilvl w:val="1"/>
          <w:numId w:val="2"/>
        </w:numPr>
        <w:tabs>
          <w:tab w:pos="1518" w:val="left" w:leader="none"/>
        </w:tabs>
        <w:spacing w:line="240" w:lineRule="auto" w:before="5" w:after="0"/>
        <w:ind w:left="1518" w:right="0" w:hanging="397"/>
        <w:jc w:val="both"/>
        <w:rPr>
          <w:sz w:val="24"/>
        </w:rPr>
      </w:pPr>
      <w:r>
        <w:rPr>
          <w:sz w:val="24"/>
        </w:rPr>
        <w:t>E-3  ze  znakiem  E-20a  umieszczany  za  wyjazdem  na  wysepce,  </w:t>
      </w:r>
      <w:r>
        <w:rPr>
          <w:spacing w:val="29"/>
          <w:sz w:val="24"/>
        </w:rPr>
        <w:t> </w:t>
      </w:r>
      <w:r>
        <w:rPr>
          <w:sz w:val="24"/>
        </w:rPr>
        <w:t>chyba</w:t>
      </w:r>
    </w:p>
    <w:p>
      <w:pPr>
        <w:pStyle w:val="BodyText"/>
        <w:spacing w:before="138"/>
        <w:ind w:left="1518"/>
      </w:pPr>
      <w:r>
        <w:rPr/>
        <w:t>że ukształtowanie wyjazdu nie pozwala na jego zastosowanie,</w:t>
      </w:r>
    </w:p>
    <w:p>
      <w:pPr>
        <w:pStyle w:val="ListParagraph"/>
        <w:numPr>
          <w:ilvl w:val="1"/>
          <w:numId w:val="2"/>
        </w:numPr>
        <w:tabs>
          <w:tab w:pos="1518" w:val="left" w:leader="none"/>
        </w:tabs>
        <w:spacing w:line="360" w:lineRule="auto" w:before="138" w:after="0"/>
        <w:ind w:left="1518" w:right="112" w:hanging="397"/>
        <w:jc w:val="both"/>
        <w:rPr>
          <w:sz w:val="24"/>
        </w:rPr>
      </w:pPr>
      <w:r>
        <w:rPr>
          <w:sz w:val="24"/>
        </w:rPr>
        <w:t>A-6d  umieszczany   przed   każdym   wjazdem   na   drogę   ekspresową   w odległości 150–300 m; jeżeli odległość ta jest mniejsza od 150 m, pod znakiem umieszcza się tabliczkę</w:t>
      </w:r>
      <w:r>
        <w:rPr>
          <w:spacing w:val="-10"/>
          <w:sz w:val="24"/>
        </w:rPr>
        <w:t> </w:t>
      </w:r>
      <w:r>
        <w:rPr>
          <w:sz w:val="24"/>
        </w:rPr>
        <w:t>T-1,</w:t>
      </w:r>
    </w:p>
    <w:p>
      <w:pPr>
        <w:pStyle w:val="ListParagraph"/>
        <w:numPr>
          <w:ilvl w:val="1"/>
          <w:numId w:val="2"/>
        </w:numPr>
        <w:tabs>
          <w:tab w:pos="1518" w:val="left" w:leader="none"/>
        </w:tabs>
        <w:spacing w:line="240" w:lineRule="auto" w:before="5" w:after="0"/>
        <w:ind w:left="1518" w:right="0" w:hanging="397"/>
        <w:jc w:val="both"/>
        <w:rPr>
          <w:sz w:val="24"/>
        </w:rPr>
      </w:pPr>
      <w:r>
        <w:rPr>
          <w:sz w:val="24"/>
        </w:rPr>
        <w:t>E-14 umieszczany za wjazdem na drogę ekspresową w odległości 250 m</w:t>
      </w:r>
      <w:r>
        <w:rPr>
          <w:spacing w:val="-22"/>
          <w:sz w:val="24"/>
        </w:rPr>
        <w:t> </w:t>
      </w:r>
      <w:r>
        <w:rPr>
          <w:sz w:val="24"/>
        </w:rPr>
        <w:t>od</w:t>
      </w:r>
    </w:p>
    <w:p>
      <w:pPr>
        <w:pStyle w:val="BodyText"/>
        <w:spacing w:before="138"/>
        <w:ind w:left="1518"/>
      </w:pPr>
      <w:r>
        <w:rPr/>
        <w:t>końca pasa włączania.</w:t>
      </w:r>
    </w:p>
    <w:p>
      <w:pPr>
        <w:pStyle w:val="BodyText"/>
        <w:spacing w:line="360" w:lineRule="auto" w:before="138"/>
        <w:ind w:left="1120" w:right="113"/>
        <w:jc w:val="both"/>
      </w:pPr>
      <w:r>
        <w:rPr/>
        <w:t>Dodatkowo, przed każdym wjazdem na jezdnię główną drogi ekspresowej,     na łącznicy, jezdni zbierająco-rozprowadzającej lub dodatkowej jezdni umieszcza się znak A-7 ze znakiem</w:t>
      </w:r>
      <w:r>
        <w:rPr>
          <w:spacing w:val="-18"/>
        </w:rPr>
        <w:t> </w:t>
      </w:r>
      <w:r>
        <w:rPr/>
        <w:t>C-5.</w:t>
      </w:r>
    </w:p>
    <w:p>
      <w:pPr>
        <w:spacing w:after="0" w:line="360" w:lineRule="auto"/>
        <w:jc w:val="both"/>
        <w:sectPr>
          <w:pgSz w:w="11910" w:h="16840"/>
          <w:pgMar w:header="719" w:footer="0" w:top="980" w:bottom="280" w:left="1680" w:right="1320"/>
        </w:sectPr>
      </w:pPr>
    </w:p>
    <w:p>
      <w:pPr>
        <w:pStyle w:val="BodyText"/>
        <w:rPr>
          <w:sz w:val="20"/>
        </w:rPr>
      </w:pPr>
    </w:p>
    <w:p>
      <w:pPr>
        <w:pStyle w:val="BodyText"/>
        <w:rPr>
          <w:sz w:val="20"/>
        </w:rPr>
      </w:pPr>
    </w:p>
    <w:p>
      <w:pPr>
        <w:pStyle w:val="BodyText"/>
        <w:rPr>
          <w:sz w:val="10"/>
        </w:rPr>
      </w:pPr>
    </w:p>
    <w:p>
      <w:pPr>
        <w:pStyle w:val="BodyText"/>
        <w:ind w:left="118"/>
        <w:rPr>
          <w:sz w:val="20"/>
        </w:rPr>
      </w:pPr>
      <w:r>
        <w:rPr>
          <w:sz w:val="20"/>
        </w:rPr>
        <w:drawing>
          <wp:inline distT="0" distB="0" distL="0" distR="0">
            <wp:extent cx="4870272" cy="6660832"/>
            <wp:effectExtent l="0" t="0" r="0" b="0"/>
            <wp:docPr id="39" name="image20.jpeg" descr=""/>
            <wp:cNvGraphicFramePr>
              <a:graphicFrameLocks noChangeAspect="1"/>
            </wp:cNvGraphicFramePr>
            <a:graphic>
              <a:graphicData uri="http://schemas.openxmlformats.org/drawingml/2006/picture">
                <pic:pic>
                  <pic:nvPicPr>
                    <pic:cNvPr id="40" name="image20.jpeg"/>
                    <pic:cNvPicPr/>
                  </pic:nvPicPr>
                  <pic:blipFill>
                    <a:blip r:embed="rId25" cstate="print"/>
                    <a:stretch>
                      <a:fillRect/>
                    </a:stretch>
                  </pic:blipFill>
                  <pic:spPr>
                    <a:xfrm>
                      <a:off x="0" y="0"/>
                      <a:ext cx="4870272" cy="6660832"/>
                    </a:xfrm>
                    <a:prstGeom prst="rect">
                      <a:avLst/>
                    </a:prstGeom>
                  </pic:spPr>
                </pic:pic>
              </a:graphicData>
            </a:graphic>
          </wp:inline>
        </w:drawing>
      </w:r>
      <w:r>
        <w:rPr>
          <w:sz w:val="20"/>
        </w:rPr>
      </w:r>
    </w:p>
    <w:p>
      <w:pPr>
        <w:pStyle w:val="BodyText"/>
        <w:rPr>
          <w:sz w:val="20"/>
        </w:rPr>
      </w:pPr>
    </w:p>
    <w:p>
      <w:pPr>
        <w:pStyle w:val="BodyText"/>
        <w:spacing w:before="5"/>
        <w:rPr>
          <w:sz w:val="18"/>
        </w:rPr>
      </w:pPr>
    </w:p>
    <w:p>
      <w:pPr>
        <w:pStyle w:val="BodyText"/>
        <w:spacing w:line="360" w:lineRule="auto" w:before="90"/>
        <w:ind w:left="1501" w:right="177"/>
      </w:pPr>
      <w:r>
        <w:rPr/>
        <w:t>Rys.  6.4.2.2.  Schemat   oznakowania   jezdni   głównej   drogi   ekspresowej  w obszarze</w:t>
      </w:r>
      <w:r>
        <w:rPr>
          <w:spacing w:val="-4"/>
        </w:rPr>
        <w:t> </w:t>
      </w:r>
      <w:r>
        <w:rPr/>
        <w:t>węzła”,</w:t>
      </w:r>
    </w:p>
    <w:p>
      <w:pPr>
        <w:pStyle w:val="ListParagraph"/>
        <w:numPr>
          <w:ilvl w:val="1"/>
          <w:numId w:val="1"/>
        </w:numPr>
        <w:tabs>
          <w:tab w:pos="1103" w:val="left" w:leader="none"/>
          <w:tab w:pos="1104" w:val="left" w:leader="none"/>
        </w:tabs>
        <w:spacing w:line="240" w:lineRule="auto" w:before="4" w:after="0"/>
        <w:ind w:left="1104" w:right="0" w:hanging="476"/>
        <w:jc w:val="left"/>
        <w:rPr>
          <w:sz w:val="24"/>
        </w:rPr>
      </w:pPr>
      <w:r>
        <w:rPr>
          <w:sz w:val="24"/>
        </w:rPr>
        <w:t>w części 7 „Znaki</w:t>
      </w:r>
      <w:r>
        <w:rPr>
          <w:spacing w:val="-10"/>
          <w:sz w:val="24"/>
        </w:rPr>
        <w:t> </w:t>
      </w:r>
      <w:r>
        <w:rPr>
          <w:sz w:val="24"/>
        </w:rPr>
        <w:t>uzupełniające”:</w:t>
      </w:r>
    </w:p>
    <w:p>
      <w:pPr>
        <w:pStyle w:val="ListParagraph"/>
        <w:numPr>
          <w:ilvl w:val="2"/>
          <w:numId w:val="1"/>
        </w:numPr>
        <w:tabs>
          <w:tab w:pos="456" w:val="left" w:leader="none"/>
          <w:tab w:pos="1562" w:val="left" w:leader="none"/>
        </w:tabs>
        <w:spacing w:line="240" w:lineRule="auto" w:before="137" w:after="0"/>
        <w:ind w:left="1562" w:right="2505" w:hanging="457"/>
        <w:jc w:val="left"/>
        <w:rPr>
          <w:sz w:val="24"/>
        </w:rPr>
      </w:pPr>
      <w:r>
        <w:rPr>
          <w:sz w:val="24"/>
        </w:rPr>
        <w:t>dodaje się pkt 7.2.23 i 7.2.24 w</w:t>
      </w:r>
      <w:r>
        <w:rPr>
          <w:spacing w:val="-5"/>
          <w:sz w:val="24"/>
        </w:rPr>
        <w:t> </w:t>
      </w:r>
      <w:r>
        <w:rPr>
          <w:sz w:val="24"/>
        </w:rPr>
        <w:t>brzmieniu:</w:t>
      </w:r>
    </w:p>
    <w:p>
      <w:pPr>
        <w:pStyle w:val="Heading1"/>
        <w:ind w:left="1501"/>
      </w:pPr>
      <w:r>
        <w:rPr>
          <w:b w:val="0"/>
        </w:rPr>
        <w:t>„</w:t>
      </w:r>
      <w:r>
        <w:rPr/>
        <w:t>7.2.23. Środkowy pas wielofunkcyjny</w:t>
      </w:r>
    </w:p>
    <w:p>
      <w:pPr>
        <w:spacing w:after="0"/>
        <w:sectPr>
          <w:pgSz w:w="11910" w:h="16840"/>
          <w:pgMar w:header="719" w:footer="0" w:top="980" w:bottom="280" w:left="1300" w:right="1320"/>
        </w:sectPr>
      </w:pPr>
    </w:p>
    <w:p>
      <w:pPr>
        <w:pStyle w:val="BodyText"/>
        <w:rPr>
          <w:b/>
          <w:sz w:val="20"/>
        </w:rPr>
      </w:pPr>
    </w:p>
    <w:p>
      <w:pPr>
        <w:pStyle w:val="BodyText"/>
        <w:spacing w:before="2"/>
        <w:rPr>
          <w:b/>
          <w:sz w:val="22"/>
        </w:rPr>
      </w:pPr>
    </w:p>
    <w:p>
      <w:pPr>
        <w:pStyle w:val="BodyText"/>
        <w:spacing w:line="360" w:lineRule="auto" w:before="90"/>
        <w:ind w:left="1121" w:right="112"/>
        <w:jc w:val="both"/>
      </w:pPr>
      <w:r>
        <w:rPr/>
        <w:t>Znak F-23 „środkowy pas wielofunkcyjny” (rys. 7.2.23.1) stosuje się w celu oznaczenia odcinków drogi w obszarze zabudowanym między</w:t>
      </w:r>
      <w:r>
        <w:rPr>
          <w:spacing w:val="-30"/>
        </w:rPr>
        <w:t> </w:t>
      </w:r>
      <w:r>
        <w:rPr/>
        <w:t>skrzyżowaniami, ze środkowym pasem wielofunkcyjnym przeznaczonym dla pojazdów wyjeżdżających z drogi lub wjeżdżających na</w:t>
      </w:r>
      <w:r>
        <w:rPr>
          <w:spacing w:val="-7"/>
        </w:rPr>
        <w:t> </w:t>
      </w:r>
      <w:r>
        <w:rPr/>
        <w:t>drogę.</w:t>
      </w:r>
    </w:p>
    <w:p>
      <w:pPr>
        <w:pStyle w:val="BodyText"/>
        <w:spacing w:line="360" w:lineRule="auto" w:before="5"/>
        <w:ind w:left="1121" w:right="113"/>
        <w:jc w:val="both"/>
      </w:pPr>
      <w:r>
        <w:rPr/>
        <w:t>Na odcinku drogi ze środkowym pasem wielofunkcyjnym stosuje się zakaz wyprzedzania określony znakiem B-25.</w:t>
      </w:r>
    </w:p>
    <w:p>
      <w:pPr>
        <w:pStyle w:val="BodyText"/>
        <w:spacing w:line="360" w:lineRule="auto" w:before="5"/>
        <w:ind w:left="1121" w:right="112"/>
        <w:jc w:val="both"/>
      </w:pPr>
      <w:r>
        <w:rPr/>
        <w:t>Początek i koniec odcinka drogi ze środkowym pasem wielofunkcyjnym wyznacza się za pomocą wyniesionych wysp, na których umieszcza się słupek przeszkodowy U-5 ze znakiem C-9.</w:t>
      </w:r>
    </w:p>
    <w:p>
      <w:pPr>
        <w:pStyle w:val="BodyText"/>
        <w:spacing w:line="360" w:lineRule="auto" w:before="5"/>
        <w:ind w:left="1121" w:right="112"/>
        <w:jc w:val="both"/>
      </w:pPr>
      <w:r>
        <w:rPr/>
        <w:t>Na</w:t>
      </w:r>
      <w:r>
        <w:rPr>
          <w:spacing w:val="-18"/>
        </w:rPr>
        <w:t> </w:t>
      </w:r>
      <w:r>
        <w:rPr/>
        <w:t>długich</w:t>
      </w:r>
      <w:r>
        <w:rPr>
          <w:spacing w:val="-17"/>
        </w:rPr>
        <w:t> </w:t>
      </w:r>
      <w:r>
        <w:rPr/>
        <w:t>odcinkach</w:t>
      </w:r>
      <w:r>
        <w:rPr>
          <w:spacing w:val="-18"/>
        </w:rPr>
        <w:t> </w:t>
      </w:r>
      <w:r>
        <w:rPr/>
        <w:t>dróg</w:t>
      </w:r>
      <w:r>
        <w:rPr>
          <w:spacing w:val="-18"/>
        </w:rPr>
        <w:t> </w:t>
      </w:r>
      <w:r>
        <w:rPr/>
        <w:t>pomiędzy</w:t>
      </w:r>
      <w:r>
        <w:rPr>
          <w:spacing w:val="-17"/>
        </w:rPr>
        <w:t> </w:t>
      </w:r>
      <w:r>
        <w:rPr/>
        <w:t>skrzyżowaniami</w:t>
      </w:r>
      <w:r>
        <w:rPr>
          <w:spacing w:val="-16"/>
        </w:rPr>
        <w:t> </w:t>
      </w:r>
      <w:r>
        <w:rPr/>
        <w:t>zaleca</w:t>
      </w:r>
      <w:r>
        <w:rPr>
          <w:spacing w:val="-17"/>
        </w:rPr>
        <w:t> </w:t>
      </w:r>
      <w:r>
        <w:rPr/>
        <w:t>się</w:t>
      </w:r>
      <w:r>
        <w:rPr>
          <w:spacing w:val="-17"/>
        </w:rPr>
        <w:t> </w:t>
      </w:r>
      <w:r>
        <w:rPr/>
        <w:t>segmentowanie pasa wielofunkcyjnego za pomocą słupków przeszkodowy U-5 ze znakiem C-9 umieszczanych na wyniesionych</w:t>
      </w:r>
      <w:r>
        <w:rPr>
          <w:spacing w:val="-20"/>
        </w:rPr>
        <w:t> </w:t>
      </w:r>
      <w:r>
        <w:rPr/>
        <w:t>wyspach.</w:t>
      </w:r>
    </w:p>
    <w:p>
      <w:pPr>
        <w:pStyle w:val="BodyText"/>
        <w:spacing w:line="360" w:lineRule="auto" w:before="5"/>
        <w:ind w:left="1121" w:right="112"/>
        <w:jc w:val="both"/>
      </w:pPr>
      <w:r>
        <w:rPr/>
        <w:t>Znaki F-23 umieszcza się w miejscu, w którym rozpoczyna się pokazana na znaku organizacja ruchu; jeżeli jest ona kontynuowana za skrzyżowaniem,</w:t>
      </w:r>
      <w:r>
        <w:rPr>
          <w:spacing w:val="-20"/>
        </w:rPr>
        <w:t> </w:t>
      </w:r>
      <w:r>
        <w:rPr/>
        <w:t>znak powtarza się bezpośrednio za tym skrzyżowaniem. Na odcinku pomiędzy skrzyżowaniami znak powtarza się, jeżeli długość odcinka jest większa niż   500</w:t>
      </w:r>
      <w:r>
        <w:rPr>
          <w:spacing w:val="-2"/>
        </w:rPr>
        <w:t> </w:t>
      </w:r>
      <w:r>
        <w:rPr/>
        <w:t>m.</w:t>
      </w:r>
    </w:p>
    <w:p>
      <w:pPr>
        <w:pStyle w:val="BodyText"/>
        <w:spacing w:before="5"/>
        <w:ind w:left="1121"/>
        <w:jc w:val="both"/>
      </w:pPr>
      <w:r>
        <w:rPr/>
        <w:t>Koniec  pasa  wielofunkcyjnego  oznacza  się  znakiem  F-23  z  tabliczką T-3a</w:t>
      </w:r>
    </w:p>
    <w:p>
      <w:pPr>
        <w:pStyle w:val="BodyText"/>
        <w:spacing w:line="360" w:lineRule="auto" w:before="138" w:after="5"/>
        <w:ind w:left="1121"/>
      </w:pPr>
      <w:r>
        <w:rPr/>
        <w:t>„Koniec” lub znakiem wskazującym nowy przekrój jezdni, np. F-10 lub F-15. Dla zapewnienia dobrej widoczności środkowych pasów wielofunkcyjnych dopuszcza się dodatkowe oznaczenie powierzchni pasa na jezdni barwą czerwoną.</w:t>
      </w:r>
    </w:p>
    <w:p>
      <w:pPr>
        <w:pStyle w:val="BodyText"/>
        <w:ind w:left="1121"/>
        <w:rPr>
          <w:sz w:val="20"/>
        </w:rPr>
      </w:pPr>
      <w:r>
        <w:rPr>
          <w:sz w:val="20"/>
        </w:rPr>
        <w:drawing>
          <wp:inline distT="0" distB="0" distL="0" distR="0">
            <wp:extent cx="2286319" cy="1299210"/>
            <wp:effectExtent l="0" t="0" r="0" b="0"/>
            <wp:docPr id="41" name="image21.png" descr=""/>
            <wp:cNvGraphicFramePr>
              <a:graphicFrameLocks noChangeAspect="1"/>
            </wp:cNvGraphicFramePr>
            <a:graphic>
              <a:graphicData uri="http://schemas.openxmlformats.org/drawingml/2006/picture">
                <pic:pic>
                  <pic:nvPicPr>
                    <pic:cNvPr id="42" name="image21.png"/>
                    <pic:cNvPicPr/>
                  </pic:nvPicPr>
                  <pic:blipFill>
                    <a:blip r:embed="rId26" cstate="print"/>
                    <a:stretch>
                      <a:fillRect/>
                    </a:stretch>
                  </pic:blipFill>
                  <pic:spPr>
                    <a:xfrm>
                      <a:off x="0" y="0"/>
                      <a:ext cx="2286319" cy="1299210"/>
                    </a:xfrm>
                    <a:prstGeom prst="rect">
                      <a:avLst/>
                    </a:prstGeom>
                  </pic:spPr>
                </pic:pic>
              </a:graphicData>
            </a:graphic>
          </wp:inline>
        </w:drawing>
      </w:r>
      <w:r>
        <w:rPr>
          <w:sz w:val="20"/>
        </w:rPr>
      </w:r>
    </w:p>
    <w:p>
      <w:pPr>
        <w:pStyle w:val="BodyText"/>
        <w:spacing w:before="132"/>
        <w:ind w:left="1121"/>
        <w:jc w:val="both"/>
      </w:pPr>
      <w:r>
        <w:rPr/>
        <w:t>Rys. 7.2.23.1. Znak F-23</w:t>
      </w:r>
    </w:p>
    <w:p>
      <w:pPr>
        <w:pStyle w:val="Heading1"/>
        <w:jc w:val="both"/>
      </w:pPr>
      <w:r>
        <w:rPr/>
        <w:t>7.2.24. Zły kierunek</w:t>
      </w:r>
    </w:p>
    <w:p>
      <w:pPr>
        <w:pStyle w:val="BodyText"/>
        <w:spacing w:line="360" w:lineRule="auto" w:before="137"/>
        <w:ind w:left="1121" w:right="113"/>
        <w:jc w:val="both"/>
      </w:pPr>
      <w:r>
        <w:rPr/>
        <w:t>Znak F-24 „zły kierunek” (rys. 7.2.24.1) umieszcza się w miejscach, w których istnieje   znaczne    ryzyko    wyboru    nieprawidłowego    kierunku    jazdy,    w szczególności na łącznicach i jezdniach zbierających-rozprowadzających na autostradzie lub drodze</w:t>
      </w:r>
      <w:r>
        <w:rPr>
          <w:spacing w:val="-26"/>
        </w:rPr>
        <w:t> </w:t>
      </w:r>
      <w:r>
        <w:rPr/>
        <w:t>ekspresowej.</w:t>
      </w:r>
    </w:p>
    <w:p>
      <w:pPr>
        <w:spacing w:after="0" w:line="360" w:lineRule="auto"/>
        <w:jc w:val="both"/>
        <w:sectPr>
          <w:pgSz w:w="11910" w:h="16840"/>
          <w:pgMar w:header="719" w:footer="0" w:top="980" w:bottom="280" w:left="1680" w:right="1320"/>
        </w:sectPr>
      </w:pPr>
    </w:p>
    <w:p>
      <w:pPr>
        <w:pStyle w:val="BodyText"/>
        <w:rPr>
          <w:sz w:val="20"/>
        </w:rPr>
      </w:pPr>
    </w:p>
    <w:p>
      <w:pPr>
        <w:pStyle w:val="BodyText"/>
        <w:spacing w:before="2"/>
        <w:rPr>
          <w:sz w:val="22"/>
        </w:rPr>
      </w:pPr>
    </w:p>
    <w:p>
      <w:pPr>
        <w:pStyle w:val="BodyText"/>
        <w:spacing w:line="360" w:lineRule="auto" w:before="90"/>
        <w:ind w:left="1121" w:right="112"/>
        <w:jc w:val="both"/>
      </w:pPr>
      <w:r>
        <w:rPr/>
        <w:t>Znak umieszcza się w taki sposób, aby był widoczny dla kierowców z miejsca, w którym możliwe jest wybranie prawidłowego kierunku ruchu. Nie dopuszcza się umieszczania znaku na jezdniach głównych autostrad oraz dróg ekspresowych,</w:t>
      </w:r>
      <w:r>
        <w:rPr>
          <w:spacing w:val="-12"/>
        </w:rPr>
        <w:t> </w:t>
      </w:r>
      <w:r>
        <w:rPr/>
        <w:t>a</w:t>
      </w:r>
      <w:r>
        <w:rPr>
          <w:spacing w:val="-14"/>
        </w:rPr>
        <w:t> </w:t>
      </w:r>
      <w:r>
        <w:rPr/>
        <w:t>także</w:t>
      </w:r>
      <w:r>
        <w:rPr>
          <w:spacing w:val="-14"/>
        </w:rPr>
        <w:t> </w:t>
      </w:r>
      <w:r>
        <w:rPr/>
        <w:t>w</w:t>
      </w:r>
      <w:r>
        <w:rPr>
          <w:spacing w:val="-14"/>
        </w:rPr>
        <w:t> </w:t>
      </w:r>
      <w:r>
        <w:rPr/>
        <w:t>innych</w:t>
      </w:r>
      <w:r>
        <w:rPr>
          <w:spacing w:val="-13"/>
        </w:rPr>
        <w:t> </w:t>
      </w:r>
      <w:r>
        <w:rPr/>
        <w:t>miejscach</w:t>
      </w:r>
      <w:r>
        <w:rPr>
          <w:spacing w:val="-13"/>
        </w:rPr>
        <w:t> </w:t>
      </w:r>
      <w:r>
        <w:rPr/>
        <w:t>w</w:t>
      </w:r>
      <w:r>
        <w:rPr>
          <w:spacing w:val="-14"/>
        </w:rPr>
        <w:t> </w:t>
      </w:r>
      <w:r>
        <w:rPr/>
        <w:t>sposób,</w:t>
      </w:r>
      <w:r>
        <w:rPr>
          <w:spacing w:val="-14"/>
        </w:rPr>
        <w:t> </w:t>
      </w:r>
      <w:r>
        <w:rPr/>
        <w:t>który</w:t>
      </w:r>
      <w:r>
        <w:rPr>
          <w:spacing w:val="-14"/>
        </w:rPr>
        <w:t> </w:t>
      </w:r>
      <w:r>
        <w:rPr/>
        <w:t>mógłby</w:t>
      </w:r>
      <w:r>
        <w:rPr>
          <w:spacing w:val="-14"/>
        </w:rPr>
        <w:t> </w:t>
      </w:r>
      <w:r>
        <w:rPr/>
        <w:t>wprowadzać w błąd prawidłowo jadących</w:t>
      </w:r>
      <w:r>
        <w:rPr>
          <w:spacing w:val="-3"/>
        </w:rPr>
        <w:t> </w:t>
      </w:r>
      <w:r>
        <w:rPr/>
        <w:t>kierowców.</w:t>
      </w:r>
    </w:p>
    <w:p>
      <w:pPr>
        <w:pStyle w:val="BodyText"/>
        <w:spacing w:line="360" w:lineRule="auto" w:before="5"/>
        <w:ind w:left="1121" w:right="113"/>
        <w:jc w:val="both"/>
      </w:pPr>
      <w:r>
        <w:rPr/>
        <w:t>Znak ustawia się po lewej stronie drogi w odległości do 50 m za znakami B-2 lub C-9. Zaleca się powtórzenie znaku po stronie prawej jezdni w tym samym przekroju. Dopuszcza się, ustawienie znaku tylko po prawej stronie jezdni w przypadku braku możliwości ustawienia znaku po jej lewej stronie. Tło tablicy znaku F-24 wykonuje się z folii pryzmatycznej odblaskowo-fluorescencyjnej żółto-zielonej.</w:t>
      </w:r>
    </w:p>
    <w:p>
      <w:pPr>
        <w:pStyle w:val="BodyText"/>
        <w:rPr>
          <w:sz w:val="20"/>
        </w:rPr>
      </w:pPr>
    </w:p>
    <w:p>
      <w:pPr>
        <w:pStyle w:val="BodyText"/>
        <w:rPr>
          <w:sz w:val="13"/>
        </w:rPr>
      </w:pPr>
      <w:r>
        <w:rPr/>
        <w:drawing>
          <wp:anchor distT="0" distB="0" distL="0" distR="0" allowOverlap="1" layoutInCell="1" locked="0" behindDoc="0" simplePos="0" relativeHeight="1288">
            <wp:simplePos x="0" y="0"/>
            <wp:positionH relativeFrom="page">
              <wp:posOffset>1778635</wp:posOffset>
            </wp:positionH>
            <wp:positionV relativeFrom="paragraph">
              <wp:posOffset>120044</wp:posOffset>
            </wp:positionV>
            <wp:extent cx="1914428" cy="2517648"/>
            <wp:effectExtent l="0" t="0" r="0" b="0"/>
            <wp:wrapTopAndBottom/>
            <wp:docPr id="43" name="image22.png" descr=""/>
            <wp:cNvGraphicFramePr>
              <a:graphicFrameLocks noChangeAspect="1"/>
            </wp:cNvGraphicFramePr>
            <a:graphic>
              <a:graphicData uri="http://schemas.openxmlformats.org/drawingml/2006/picture">
                <pic:pic>
                  <pic:nvPicPr>
                    <pic:cNvPr id="44" name="image22.png"/>
                    <pic:cNvPicPr/>
                  </pic:nvPicPr>
                  <pic:blipFill>
                    <a:blip r:embed="rId27" cstate="print"/>
                    <a:stretch>
                      <a:fillRect/>
                    </a:stretch>
                  </pic:blipFill>
                  <pic:spPr>
                    <a:xfrm>
                      <a:off x="0" y="0"/>
                      <a:ext cx="1914428" cy="2517648"/>
                    </a:xfrm>
                    <a:prstGeom prst="rect">
                      <a:avLst/>
                    </a:prstGeom>
                  </pic:spPr>
                </pic:pic>
              </a:graphicData>
            </a:graphic>
          </wp:anchor>
        </w:drawing>
      </w:r>
    </w:p>
    <w:p>
      <w:pPr>
        <w:pStyle w:val="BodyText"/>
        <w:spacing w:before="109"/>
        <w:ind w:left="1121"/>
        <w:jc w:val="both"/>
      </w:pPr>
      <w:r>
        <w:rPr/>
        <w:t>Rys. 7.2.24.1. Znak F-24”,</w:t>
      </w:r>
    </w:p>
    <w:p>
      <w:pPr>
        <w:pStyle w:val="ListParagraph"/>
        <w:numPr>
          <w:ilvl w:val="1"/>
          <w:numId w:val="1"/>
        </w:numPr>
        <w:tabs>
          <w:tab w:pos="723" w:val="left" w:leader="none"/>
          <w:tab w:pos="724" w:val="left" w:leader="none"/>
        </w:tabs>
        <w:spacing w:line="240" w:lineRule="auto" w:before="138" w:after="0"/>
        <w:ind w:left="724" w:right="0" w:hanging="476"/>
        <w:jc w:val="left"/>
        <w:rPr>
          <w:sz w:val="24"/>
        </w:rPr>
      </w:pPr>
      <w:r>
        <w:rPr>
          <w:sz w:val="24"/>
        </w:rPr>
        <w:t>w części 8 „Dodatkowe znaki pionowe” w pkt</w:t>
      </w:r>
      <w:r>
        <w:rPr>
          <w:spacing w:val="-15"/>
          <w:sz w:val="24"/>
        </w:rPr>
        <w:t> </w:t>
      </w:r>
      <w:r>
        <w:rPr>
          <w:sz w:val="24"/>
        </w:rPr>
        <w:t>8.3.3:</w:t>
      </w:r>
    </w:p>
    <w:p>
      <w:pPr>
        <w:pStyle w:val="ListParagraph"/>
        <w:numPr>
          <w:ilvl w:val="0"/>
          <w:numId w:val="2"/>
        </w:numPr>
        <w:tabs>
          <w:tab w:pos="1121" w:val="left" w:leader="none"/>
          <w:tab w:pos="1122" w:val="left" w:leader="none"/>
        </w:tabs>
        <w:spacing w:line="240" w:lineRule="auto" w:before="138" w:after="0"/>
        <w:ind w:left="1122" w:right="0" w:hanging="397"/>
        <w:jc w:val="left"/>
        <w:rPr>
          <w:sz w:val="24"/>
        </w:rPr>
      </w:pPr>
      <w:r>
        <w:rPr>
          <w:sz w:val="24"/>
        </w:rPr>
        <w:t>akapit czwarty otrzymuje</w:t>
      </w:r>
      <w:r>
        <w:rPr>
          <w:spacing w:val="-12"/>
          <w:sz w:val="24"/>
        </w:rPr>
        <w:t> </w:t>
      </w:r>
      <w:r>
        <w:rPr>
          <w:sz w:val="24"/>
        </w:rPr>
        <w:t>brzmienie:</w:t>
      </w:r>
    </w:p>
    <w:p>
      <w:pPr>
        <w:pStyle w:val="BodyText"/>
        <w:spacing w:line="360" w:lineRule="auto" w:before="138"/>
        <w:ind w:left="1121" w:right="112"/>
        <w:jc w:val="both"/>
      </w:pPr>
      <w:r>
        <w:rPr/>
        <w:t>„Znak W-7 „wysokość skrajni jezdni” (rys. 8.3.7) stosuje się, jeżeli wysokość skrajni</w:t>
      </w:r>
      <w:r>
        <w:rPr>
          <w:spacing w:val="-10"/>
        </w:rPr>
        <w:t> </w:t>
      </w:r>
      <w:r>
        <w:rPr/>
        <w:t>nad</w:t>
      </w:r>
      <w:r>
        <w:rPr>
          <w:spacing w:val="-10"/>
        </w:rPr>
        <w:t> </w:t>
      </w:r>
      <w:r>
        <w:rPr/>
        <w:t>jezdnią,</w:t>
      </w:r>
      <w:r>
        <w:rPr>
          <w:spacing w:val="-9"/>
        </w:rPr>
        <w:t> </w:t>
      </w:r>
      <w:r>
        <w:rPr/>
        <w:t>częścią</w:t>
      </w:r>
      <w:r>
        <w:rPr>
          <w:spacing w:val="-9"/>
        </w:rPr>
        <w:t> </w:t>
      </w:r>
      <w:r>
        <w:rPr/>
        <w:t>pobocza</w:t>
      </w:r>
      <w:r>
        <w:rPr>
          <w:spacing w:val="-10"/>
        </w:rPr>
        <w:t> </w:t>
      </w:r>
      <w:r>
        <w:rPr/>
        <w:t>o</w:t>
      </w:r>
      <w:r>
        <w:rPr>
          <w:spacing w:val="-10"/>
        </w:rPr>
        <w:t> </w:t>
      </w:r>
      <w:r>
        <w:rPr/>
        <w:t>nawierzchni</w:t>
      </w:r>
      <w:r>
        <w:rPr>
          <w:spacing w:val="-10"/>
        </w:rPr>
        <w:t> </w:t>
      </w:r>
      <w:r>
        <w:rPr/>
        <w:t>twardej,</w:t>
      </w:r>
      <w:r>
        <w:rPr>
          <w:spacing w:val="-9"/>
        </w:rPr>
        <w:t> </w:t>
      </w:r>
      <w:r>
        <w:rPr/>
        <w:t>opaską</w:t>
      </w:r>
      <w:r>
        <w:rPr>
          <w:spacing w:val="-10"/>
        </w:rPr>
        <w:t> </w:t>
      </w:r>
      <w:r>
        <w:rPr/>
        <w:t>wewnętrzną, zatoką postojową lub przystankową jest mniejsza niż 4,5</w:t>
      </w:r>
      <w:r>
        <w:rPr>
          <w:spacing w:val="-20"/>
        </w:rPr>
        <w:t> </w:t>
      </w:r>
      <w:r>
        <w:rPr/>
        <w:t>m.”,</w:t>
      </w:r>
    </w:p>
    <w:p>
      <w:pPr>
        <w:pStyle w:val="ListParagraph"/>
        <w:numPr>
          <w:ilvl w:val="0"/>
          <w:numId w:val="2"/>
        </w:numPr>
        <w:tabs>
          <w:tab w:pos="1121" w:val="left" w:leader="none"/>
          <w:tab w:pos="1122" w:val="left" w:leader="none"/>
        </w:tabs>
        <w:spacing w:line="240" w:lineRule="auto" w:before="5" w:after="0"/>
        <w:ind w:left="1122" w:right="0" w:hanging="397"/>
        <w:jc w:val="left"/>
        <w:rPr>
          <w:sz w:val="24"/>
        </w:rPr>
      </w:pPr>
      <w:r>
        <w:rPr>
          <w:sz w:val="24"/>
        </w:rPr>
        <w:t>skreśla się akapit</w:t>
      </w:r>
      <w:r>
        <w:rPr>
          <w:spacing w:val="-7"/>
          <w:sz w:val="24"/>
        </w:rPr>
        <w:t> </w:t>
      </w:r>
      <w:r>
        <w:rPr>
          <w:sz w:val="24"/>
        </w:rPr>
        <w:t>piąty,</w:t>
      </w:r>
    </w:p>
    <w:p>
      <w:pPr>
        <w:pStyle w:val="ListParagraph"/>
        <w:numPr>
          <w:ilvl w:val="1"/>
          <w:numId w:val="1"/>
        </w:numPr>
        <w:tabs>
          <w:tab w:pos="723" w:val="left" w:leader="none"/>
          <w:tab w:pos="724" w:val="left" w:leader="none"/>
        </w:tabs>
        <w:spacing w:line="240" w:lineRule="auto" w:before="137" w:after="0"/>
        <w:ind w:left="724" w:right="0" w:hanging="476"/>
        <w:jc w:val="left"/>
        <w:rPr>
          <w:sz w:val="24"/>
        </w:rPr>
      </w:pPr>
      <w:r>
        <w:rPr>
          <w:sz w:val="24"/>
        </w:rPr>
        <w:t>w części 9 „Konstrukcje znaków drogowych</w:t>
      </w:r>
      <w:r>
        <w:rPr>
          <w:spacing w:val="-15"/>
          <w:sz w:val="24"/>
        </w:rPr>
        <w:t> </w:t>
      </w:r>
      <w:r>
        <w:rPr>
          <w:sz w:val="24"/>
        </w:rPr>
        <w:t>pionowych”:</w:t>
      </w:r>
    </w:p>
    <w:p>
      <w:pPr>
        <w:pStyle w:val="ListParagraph"/>
        <w:numPr>
          <w:ilvl w:val="0"/>
          <w:numId w:val="2"/>
        </w:numPr>
        <w:tabs>
          <w:tab w:pos="1121" w:val="left" w:leader="none"/>
          <w:tab w:pos="1122" w:val="left" w:leader="none"/>
        </w:tabs>
        <w:spacing w:line="240" w:lineRule="auto" w:before="137" w:after="0"/>
        <w:ind w:left="1122" w:right="0" w:hanging="397"/>
        <w:jc w:val="left"/>
        <w:rPr>
          <w:sz w:val="24"/>
        </w:rPr>
      </w:pPr>
      <w:r>
        <w:rPr>
          <w:sz w:val="24"/>
        </w:rPr>
        <w:t>w pkt</w:t>
      </w:r>
      <w:r>
        <w:rPr>
          <w:spacing w:val="-2"/>
          <w:sz w:val="24"/>
        </w:rPr>
        <w:t> </w:t>
      </w:r>
      <w:r>
        <w:rPr>
          <w:sz w:val="24"/>
        </w:rPr>
        <w:t>9.5:</w:t>
      </w:r>
    </w:p>
    <w:p>
      <w:pPr>
        <w:pStyle w:val="ListParagraph"/>
        <w:numPr>
          <w:ilvl w:val="1"/>
          <w:numId w:val="2"/>
        </w:numPr>
        <w:tabs>
          <w:tab w:pos="1301" w:val="left" w:leader="none"/>
        </w:tabs>
        <w:spacing w:line="240" w:lineRule="auto" w:before="137" w:after="0"/>
        <w:ind w:left="1301" w:right="0" w:hanging="180"/>
        <w:jc w:val="both"/>
        <w:rPr>
          <w:sz w:val="24"/>
        </w:rPr>
      </w:pPr>
      <w:r>
        <w:rPr>
          <w:sz w:val="24"/>
        </w:rPr>
        <w:t>–  podpis pod rysunkiem 9.5.15 otrzymuje</w:t>
      </w:r>
      <w:r>
        <w:rPr>
          <w:spacing w:val="-24"/>
          <w:sz w:val="24"/>
        </w:rPr>
        <w:t> </w:t>
      </w:r>
      <w:r>
        <w:rPr>
          <w:sz w:val="24"/>
        </w:rPr>
        <w:t>brzmienie:</w:t>
      </w:r>
    </w:p>
    <w:p>
      <w:pPr>
        <w:pStyle w:val="BodyText"/>
        <w:spacing w:before="137"/>
        <w:ind w:left="1518"/>
      </w:pPr>
      <w:r>
        <w:rPr/>
        <w:t>„Rys. 9.5.15. Szczegóły konstrukcji znaku E-1 i E-1c”,</w:t>
      </w:r>
    </w:p>
    <w:p>
      <w:pPr>
        <w:spacing w:after="0"/>
        <w:sectPr>
          <w:pgSz w:w="11910" w:h="16840"/>
          <w:pgMar w:header="719" w:footer="0" w:top="980" w:bottom="280" w:left="1680" w:right="1320"/>
        </w:sectPr>
      </w:pPr>
    </w:p>
    <w:p>
      <w:pPr>
        <w:pStyle w:val="BodyText"/>
        <w:rPr>
          <w:sz w:val="20"/>
        </w:rPr>
      </w:pPr>
    </w:p>
    <w:p>
      <w:pPr>
        <w:pStyle w:val="BodyText"/>
        <w:spacing w:before="2"/>
        <w:rPr>
          <w:sz w:val="22"/>
        </w:rPr>
      </w:pPr>
    </w:p>
    <w:p>
      <w:pPr>
        <w:pStyle w:val="ListParagraph"/>
        <w:numPr>
          <w:ilvl w:val="1"/>
          <w:numId w:val="2"/>
        </w:numPr>
        <w:tabs>
          <w:tab w:pos="1301" w:val="left" w:leader="none"/>
        </w:tabs>
        <w:spacing w:line="240" w:lineRule="auto" w:before="90" w:after="0"/>
        <w:ind w:left="1301" w:right="0" w:hanging="180"/>
        <w:jc w:val="left"/>
        <w:rPr>
          <w:sz w:val="24"/>
        </w:rPr>
      </w:pPr>
      <w:r>
        <w:rPr>
          <w:sz w:val="24"/>
        </w:rPr>
        <w:t>–  podpis pod rysunkiem 9.5.17 otrzymuje</w:t>
      </w:r>
      <w:r>
        <w:rPr>
          <w:spacing w:val="-24"/>
          <w:sz w:val="24"/>
        </w:rPr>
        <w:t> </w:t>
      </w:r>
      <w:r>
        <w:rPr>
          <w:sz w:val="24"/>
        </w:rPr>
        <w:t>brzmienie:</w:t>
      </w:r>
    </w:p>
    <w:p>
      <w:pPr>
        <w:pStyle w:val="BodyText"/>
        <w:spacing w:line="360" w:lineRule="auto" w:before="138"/>
        <w:ind w:left="1518" w:right="247"/>
      </w:pPr>
      <w:r>
        <w:rPr/>
        <w:t>„Rys. 9.5.17. Element tablicy E-1 na drodze krajowej innej niż autostrada   i droga ekspresowa, przed wyjazdami do</w:t>
      </w:r>
      <w:r>
        <w:rPr>
          <w:spacing w:val="-31"/>
        </w:rPr>
        <w:t> </w:t>
      </w:r>
      <w:r>
        <w:rPr/>
        <w:t>autostrady”,</w:t>
      </w:r>
    </w:p>
    <w:p>
      <w:pPr>
        <w:pStyle w:val="ListParagraph"/>
        <w:numPr>
          <w:ilvl w:val="1"/>
          <w:numId w:val="2"/>
        </w:numPr>
        <w:tabs>
          <w:tab w:pos="1301" w:val="left" w:leader="none"/>
        </w:tabs>
        <w:spacing w:line="240" w:lineRule="auto" w:before="5" w:after="0"/>
        <w:ind w:left="1301" w:right="0" w:hanging="180"/>
        <w:jc w:val="left"/>
        <w:rPr>
          <w:sz w:val="24"/>
        </w:rPr>
      </w:pPr>
      <w:r>
        <w:rPr>
          <w:sz w:val="24"/>
        </w:rPr>
        <w:t>–  podpis pod rysunkiem 9.5.21 otrzymuje</w:t>
      </w:r>
      <w:r>
        <w:rPr>
          <w:spacing w:val="-24"/>
          <w:sz w:val="24"/>
        </w:rPr>
        <w:t> </w:t>
      </w:r>
      <w:r>
        <w:rPr>
          <w:sz w:val="24"/>
        </w:rPr>
        <w:t>brzmienie:</w:t>
      </w:r>
    </w:p>
    <w:p>
      <w:pPr>
        <w:pStyle w:val="BodyText"/>
        <w:spacing w:before="138"/>
        <w:ind w:left="1518"/>
      </w:pPr>
      <w:r>
        <w:rPr/>
        <w:t>„Rys. 9.5.21. Konstrukcja znaku E-2a na skrzyżowaniu typu „Y””,</w:t>
      </w:r>
    </w:p>
    <w:p>
      <w:pPr>
        <w:pStyle w:val="ListParagraph"/>
        <w:numPr>
          <w:ilvl w:val="1"/>
          <w:numId w:val="2"/>
        </w:numPr>
        <w:tabs>
          <w:tab w:pos="1301" w:val="left" w:leader="none"/>
        </w:tabs>
        <w:spacing w:line="240" w:lineRule="auto" w:before="138" w:after="0"/>
        <w:ind w:left="1301" w:right="0" w:hanging="180"/>
        <w:jc w:val="left"/>
        <w:rPr>
          <w:sz w:val="24"/>
        </w:rPr>
      </w:pPr>
      <w:r>
        <w:rPr>
          <w:sz w:val="24"/>
        </w:rPr>
        <w:t>–  podpis pod rysunkiem 9.5.22 otrzymuje</w:t>
      </w:r>
      <w:r>
        <w:rPr>
          <w:spacing w:val="-24"/>
          <w:sz w:val="24"/>
        </w:rPr>
        <w:t> </w:t>
      </w:r>
      <w:r>
        <w:rPr>
          <w:sz w:val="24"/>
        </w:rPr>
        <w:t>brzmienie:</w:t>
      </w:r>
    </w:p>
    <w:p>
      <w:pPr>
        <w:pStyle w:val="BodyText"/>
        <w:spacing w:before="138"/>
        <w:ind w:left="1518"/>
      </w:pPr>
      <w:r>
        <w:rPr/>
        <w:t>„Rys. 9.5.22. Konstrukcja znaku E-2b”,</w:t>
      </w:r>
    </w:p>
    <w:p>
      <w:pPr>
        <w:pStyle w:val="ListParagraph"/>
        <w:numPr>
          <w:ilvl w:val="1"/>
          <w:numId w:val="2"/>
        </w:numPr>
        <w:tabs>
          <w:tab w:pos="1301" w:val="left" w:leader="none"/>
        </w:tabs>
        <w:spacing w:line="240" w:lineRule="auto" w:before="138" w:after="0"/>
        <w:ind w:left="1301" w:right="0" w:hanging="180"/>
        <w:jc w:val="left"/>
        <w:rPr>
          <w:sz w:val="24"/>
        </w:rPr>
      </w:pPr>
      <w:r>
        <w:rPr/>
        <w:drawing>
          <wp:anchor distT="0" distB="0" distL="0" distR="0" allowOverlap="1" layoutInCell="1" locked="0" behindDoc="1" simplePos="0" relativeHeight="268415711">
            <wp:simplePos x="0" y="0"/>
            <wp:positionH relativeFrom="page">
              <wp:posOffset>2098370</wp:posOffset>
            </wp:positionH>
            <wp:positionV relativeFrom="paragraph">
              <wp:posOffset>350496</wp:posOffset>
            </wp:positionV>
            <wp:extent cx="4536000" cy="1222418"/>
            <wp:effectExtent l="0" t="0" r="0" b="0"/>
            <wp:wrapNone/>
            <wp:docPr id="45" name="image23.jpeg" descr=""/>
            <wp:cNvGraphicFramePr>
              <a:graphicFrameLocks noChangeAspect="1"/>
            </wp:cNvGraphicFramePr>
            <a:graphic>
              <a:graphicData uri="http://schemas.openxmlformats.org/drawingml/2006/picture">
                <pic:pic>
                  <pic:nvPicPr>
                    <pic:cNvPr id="46" name="image23.jpeg"/>
                    <pic:cNvPicPr/>
                  </pic:nvPicPr>
                  <pic:blipFill>
                    <a:blip r:embed="rId28" cstate="print"/>
                    <a:stretch>
                      <a:fillRect/>
                    </a:stretch>
                  </pic:blipFill>
                  <pic:spPr>
                    <a:xfrm>
                      <a:off x="0" y="0"/>
                      <a:ext cx="4536000" cy="1222418"/>
                    </a:xfrm>
                    <a:prstGeom prst="rect">
                      <a:avLst/>
                    </a:prstGeom>
                  </pic:spPr>
                </pic:pic>
              </a:graphicData>
            </a:graphic>
          </wp:anchor>
        </w:drawing>
      </w:r>
      <w:r>
        <w:rPr>
          <w:sz w:val="24"/>
        </w:rPr>
        <w:t>–  rysunek 9.5.23 otrzymuje</w:t>
      </w:r>
      <w:r>
        <w:rPr>
          <w:spacing w:val="-24"/>
          <w:sz w:val="24"/>
        </w:rPr>
        <w:t> </w:t>
      </w:r>
      <w:r>
        <w:rPr>
          <w:sz w:val="24"/>
        </w:rPr>
        <w:t>brzmienie:</w:t>
      </w: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spacing w:before="10"/>
        <w:rPr>
          <w:sz w:val="29"/>
        </w:rPr>
      </w:pPr>
    </w:p>
    <w:p>
      <w:pPr>
        <w:pStyle w:val="BodyText"/>
        <w:ind w:left="1518"/>
      </w:pPr>
      <w:r>
        <w:rPr/>
        <w:t>„</w:t>
      </w:r>
    </w:p>
    <w:p>
      <w:pPr>
        <w:pStyle w:val="BodyText"/>
        <w:spacing w:before="137"/>
        <w:ind w:left="1518"/>
      </w:pPr>
      <w:r>
        <w:rPr/>
        <w:t>Wymiary liter miejscowości kierunkowej według tabeli 9.5.4.</w:t>
      </w:r>
    </w:p>
    <w:p>
      <w:pPr>
        <w:pStyle w:val="BodyText"/>
        <w:spacing w:before="137"/>
        <w:ind w:left="1518"/>
      </w:pPr>
      <w:r>
        <w:rPr/>
        <w:t>Wymiary strzałek kierunkowych umieszczonych na drogowskazie   według</w:t>
      </w:r>
    </w:p>
    <w:p>
      <w:pPr>
        <w:pStyle w:val="BodyText"/>
        <w:spacing w:before="137"/>
        <w:ind w:left="1518"/>
      </w:pPr>
      <w:r>
        <w:rPr/>
        <w:t>wzoru.</w:t>
      </w:r>
    </w:p>
    <w:p>
      <w:pPr>
        <w:pStyle w:val="BodyText"/>
        <w:spacing w:line="360" w:lineRule="auto" w:before="137"/>
        <w:ind w:left="1518" w:right="3446"/>
      </w:pPr>
      <w:r>
        <w:rPr/>
        <w:t>w – wysokość tablicy kierunkowej (mm) j – szerokość jezdni (mm)</w:t>
      </w:r>
    </w:p>
    <w:p>
      <w:pPr>
        <w:pStyle w:val="BodyText"/>
        <w:spacing w:before="4"/>
        <w:ind w:left="1518"/>
      </w:pPr>
      <w:r>
        <w:rPr/>
        <w:t>p – szerokość pasa ruchu</w:t>
      </w:r>
    </w:p>
    <w:p>
      <w:pPr>
        <w:pStyle w:val="BodyText"/>
        <w:spacing w:before="137"/>
        <w:ind w:left="1518"/>
      </w:pPr>
      <w:r>
        <w:rPr/>
        <w:t>pw – szerokość pasa wyłączania</w:t>
      </w:r>
    </w:p>
    <w:p>
      <w:pPr>
        <w:pStyle w:val="BodyText"/>
        <w:spacing w:before="137"/>
        <w:ind w:left="1518"/>
      </w:pPr>
      <w:r>
        <w:rPr/>
        <w:t>pw+ – jeżeli zachodzi  taka potrzeba i warunki terenowe  na to    pozwalają</w:t>
      </w:r>
    </w:p>
    <w:p>
      <w:pPr>
        <w:pStyle w:val="BodyText"/>
        <w:spacing w:line="360" w:lineRule="auto" w:before="137"/>
        <w:ind w:left="1518" w:right="2400"/>
      </w:pPr>
      <w:r>
        <w:rPr/>
        <w:t>dopuszcza się zwiększenie szerokości drogowskazu Rys. 9.5.23. Konstrukcja znaku E-2d”,</w:t>
      </w:r>
    </w:p>
    <w:p>
      <w:pPr>
        <w:pStyle w:val="ListParagraph"/>
        <w:numPr>
          <w:ilvl w:val="1"/>
          <w:numId w:val="2"/>
        </w:numPr>
        <w:tabs>
          <w:tab w:pos="1301" w:val="left" w:leader="none"/>
        </w:tabs>
        <w:spacing w:line="240" w:lineRule="auto" w:before="4" w:after="0"/>
        <w:ind w:left="1301" w:right="0" w:hanging="180"/>
        <w:jc w:val="left"/>
        <w:rPr>
          <w:sz w:val="24"/>
        </w:rPr>
      </w:pPr>
      <w:r>
        <w:rPr/>
        <w:drawing>
          <wp:anchor distT="0" distB="0" distL="0" distR="0" allowOverlap="1" layoutInCell="1" locked="0" behindDoc="1" simplePos="0" relativeHeight="268415735">
            <wp:simplePos x="0" y="0"/>
            <wp:positionH relativeFrom="page">
              <wp:posOffset>2098370</wp:posOffset>
            </wp:positionH>
            <wp:positionV relativeFrom="paragraph">
              <wp:posOffset>265406</wp:posOffset>
            </wp:positionV>
            <wp:extent cx="4536000" cy="1731246"/>
            <wp:effectExtent l="0" t="0" r="0" b="0"/>
            <wp:wrapNone/>
            <wp:docPr id="47" name="image24.jpeg" descr=""/>
            <wp:cNvGraphicFramePr>
              <a:graphicFrameLocks noChangeAspect="1"/>
            </wp:cNvGraphicFramePr>
            <a:graphic>
              <a:graphicData uri="http://schemas.openxmlformats.org/drawingml/2006/picture">
                <pic:pic>
                  <pic:nvPicPr>
                    <pic:cNvPr id="48" name="image24.jpeg"/>
                    <pic:cNvPicPr/>
                  </pic:nvPicPr>
                  <pic:blipFill>
                    <a:blip r:embed="rId29" cstate="print"/>
                    <a:stretch>
                      <a:fillRect/>
                    </a:stretch>
                  </pic:blipFill>
                  <pic:spPr>
                    <a:xfrm>
                      <a:off x="0" y="0"/>
                      <a:ext cx="4536000" cy="1731246"/>
                    </a:xfrm>
                    <a:prstGeom prst="rect">
                      <a:avLst/>
                    </a:prstGeom>
                  </pic:spPr>
                </pic:pic>
              </a:graphicData>
            </a:graphic>
          </wp:anchor>
        </w:drawing>
      </w:r>
      <w:r>
        <w:rPr>
          <w:sz w:val="24"/>
        </w:rPr>
        <w:t>–  rysunek 9.5.45 otrzymuje</w:t>
      </w:r>
      <w:r>
        <w:rPr>
          <w:spacing w:val="-24"/>
          <w:sz w:val="24"/>
        </w:rPr>
        <w:t> </w:t>
      </w:r>
      <w:r>
        <w:rPr>
          <w:sz w:val="24"/>
        </w:rPr>
        <w:t>brzmienie:</w:t>
      </w: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spacing w:before="10"/>
        <w:rPr>
          <w:sz w:val="21"/>
        </w:rPr>
      </w:pPr>
    </w:p>
    <w:p>
      <w:pPr>
        <w:pStyle w:val="BodyText"/>
        <w:ind w:left="1518"/>
      </w:pPr>
      <w:r>
        <w:rPr/>
        <w:t>„</w:t>
      </w:r>
    </w:p>
    <w:p>
      <w:pPr>
        <w:pStyle w:val="BodyText"/>
        <w:spacing w:line="360" w:lineRule="auto" w:before="137"/>
        <w:ind w:left="1517"/>
      </w:pPr>
      <w:r>
        <w:rPr/>
        <w:t>Rys. 9.5.45. Konstrukcja znaku E-14 na drodze ekspresowej (analogiczna konstrukcja w przypadku znaku na autostradzie)”,</w:t>
      </w:r>
    </w:p>
    <w:p>
      <w:pPr>
        <w:spacing w:after="0" w:line="360" w:lineRule="auto"/>
        <w:sectPr>
          <w:pgSz w:w="11910" w:h="16840"/>
          <w:pgMar w:header="719" w:footer="0" w:top="980" w:bottom="280" w:left="1680" w:right="1320"/>
        </w:sectPr>
      </w:pPr>
    </w:p>
    <w:p>
      <w:pPr>
        <w:pStyle w:val="BodyText"/>
        <w:rPr>
          <w:sz w:val="20"/>
        </w:rPr>
      </w:pPr>
    </w:p>
    <w:p>
      <w:pPr>
        <w:pStyle w:val="BodyText"/>
        <w:spacing w:before="2"/>
        <w:rPr>
          <w:sz w:val="22"/>
        </w:rPr>
      </w:pPr>
    </w:p>
    <w:p>
      <w:pPr>
        <w:pStyle w:val="ListParagraph"/>
        <w:numPr>
          <w:ilvl w:val="1"/>
          <w:numId w:val="2"/>
        </w:numPr>
        <w:tabs>
          <w:tab w:pos="1301" w:val="left" w:leader="none"/>
        </w:tabs>
        <w:spacing w:line="240" w:lineRule="auto" w:before="90" w:after="0"/>
        <w:ind w:left="1301" w:right="0" w:hanging="180"/>
        <w:jc w:val="left"/>
        <w:rPr>
          <w:sz w:val="24"/>
        </w:rPr>
      </w:pPr>
      <w:r>
        <w:rPr>
          <w:sz w:val="24"/>
        </w:rPr>
        <w:t>–skreśla się rysunek</w:t>
      </w:r>
      <w:r>
        <w:rPr>
          <w:spacing w:val="-3"/>
          <w:sz w:val="24"/>
        </w:rPr>
        <w:t> </w:t>
      </w:r>
      <w:r>
        <w:rPr>
          <w:sz w:val="24"/>
        </w:rPr>
        <w:t>9.5.52,</w:t>
      </w:r>
    </w:p>
    <w:p>
      <w:pPr>
        <w:pStyle w:val="ListParagraph"/>
        <w:numPr>
          <w:ilvl w:val="1"/>
          <w:numId w:val="2"/>
        </w:numPr>
        <w:tabs>
          <w:tab w:pos="1301" w:val="left" w:leader="none"/>
        </w:tabs>
        <w:spacing w:line="240" w:lineRule="auto" w:before="138" w:after="0"/>
        <w:ind w:left="1301" w:right="0" w:hanging="180"/>
        <w:jc w:val="left"/>
        <w:rPr>
          <w:sz w:val="24"/>
        </w:rPr>
      </w:pPr>
      <w:r>
        <w:rPr>
          <w:sz w:val="24"/>
        </w:rPr>
        <w:t>–  rysunek 9.5.53 otrzymuje</w:t>
      </w:r>
      <w:r>
        <w:rPr>
          <w:spacing w:val="-24"/>
          <w:sz w:val="24"/>
        </w:rPr>
        <w:t> </w:t>
      </w:r>
      <w:r>
        <w:rPr>
          <w:sz w:val="24"/>
        </w:rPr>
        <w:t>brzmienie:</w:t>
      </w:r>
    </w:p>
    <w:p>
      <w:pPr>
        <w:pStyle w:val="BodyText"/>
        <w:spacing w:before="138"/>
        <w:ind w:left="1518"/>
      </w:pPr>
      <w:r>
        <w:rPr/>
        <w:drawing>
          <wp:anchor distT="0" distB="0" distL="0" distR="0" allowOverlap="1" layoutInCell="1" locked="0" behindDoc="0" simplePos="0" relativeHeight="1360">
            <wp:simplePos x="0" y="0"/>
            <wp:positionH relativeFrom="page">
              <wp:posOffset>2030730</wp:posOffset>
            </wp:positionH>
            <wp:positionV relativeFrom="paragraph">
              <wp:posOffset>350496</wp:posOffset>
            </wp:positionV>
            <wp:extent cx="4709674" cy="2112263"/>
            <wp:effectExtent l="0" t="0" r="0" b="0"/>
            <wp:wrapTopAndBottom/>
            <wp:docPr id="49" name="image25.jpeg" descr=""/>
            <wp:cNvGraphicFramePr>
              <a:graphicFrameLocks noChangeAspect="1"/>
            </wp:cNvGraphicFramePr>
            <a:graphic>
              <a:graphicData uri="http://schemas.openxmlformats.org/drawingml/2006/picture">
                <pic:pic>
                  <pic:nvPicPr>
                    <pic:cNvPr id="50" name="image25.jpeg"/>
                    <pic:cNvPicPr/>
                  </pic:nvPicPr>
                  <pic:blipFill>
                    <a:blip r:embed="rId30" cstate="print"/>
                    <a:stretch>
                      <a:fillRect/>
                    </a:stretch>
                  </pic:blipFill>
                  <pic:spPr>
                    <a:xfrm>
                      <a:off x="0" y="0"/>
                      <a:ext cx="4709674" cy="2112263"/>
                    </a:xfrm>
                    <a:prstGeom prst="rect">
                      <a:avLst/>
                    </a:prstGeom>
                  </pic:spPr>
                </pic:pic>
              </a:graphicData>
            </a:graphic>
          </wp:anchor>
        </w:drawing>
      </w:r>
      <w:r>
        <w:rPr/>
        <w:t>„Rys. 9.5.53. Konstrukcja znaku E-20:</w:t>
      </w:r>
    </w:p>
    <w:p>
      <w:pPr>
        <w:pStyle w:val="ListParagraph"/>
        <w:numPr>
          <w:ilvl w:val="0"/>
          <w:numId w:val="9"/>
        </w:numPr>
        <w:tabs>
          <w:tab w:pos="1765" w:val="left" w:leader="none"/>
        </w:tabs>
        <w:spacing w:line="240" w:lineRule="auto" w:before="88" w:after="138"/>
        <w:ind w:left="1764" w:right="0" w:hanging="246"/>
        <w:jc w:val="left"/>
        <w:rPr>
          <w:sz w:val="24"/>
        </w:rPr>
      </w:pPr>
      <w:r>
        <w:rPr>
          <w:sz w:val="24"/>
        </w:rPr>
        <w:t>na autostradzie lub drodze</w:t>
      </w:r>
      <w:r>
        <w:rPr>
          <w:spacing w:val="-25"/>
          <w:sz w:val="24"/>
        </w:rPr>
        <w:t> </w:t>
      </w:r>
      <w:r>
        <w:rPr>
          <w:sz w:val="24"/>
        </w:rPr>
        <w:t>ekspresowej</w:t>
      </w:r>
    </w:p>
    <w:p>
      <w:pPr>
        <w:pStyle w:val="BodyText"/>
        <w:ind w:left="1518"/>
        <w:rPr>
          <w:sz w:val="20"/>
        </w:rPr>
      </w:pPr>
      <w:r>
        <w:rPr>
          <w:sz w:val="20"/>
        </w:rPr>
        <w:drawing>
          <wp:inline distT="0" distB="0" distL="0" distR="0">
            <wp:extent cx="4713245" cy="1969770"/>
            <wp:effectExtent l="0" t="0" r="0" b="0"/>
            <wp:docPr id="51" name="image26.jpeg" descr=""/>
            <wp:cNvGraphicFramePr>
              <a:graphicFrameLocks noChangeAspect="1"/>
            </wp:cNvGraphicFramePr>
            <a:graphic>
              <a:graphicData uri="http://schemas.openxmlformats.org/drawingml/2006/picture">
                <pic:pic>
                  <pic:nvPicPr>
                    <pic:cNvPr id="52" name="image26.jpeg"/>
                    <pic:cNvPicPr/>
                  </pic:nvPicPr>
                  <pic:blipFill>
                    <a:blip r:embed="rId31" cstate="print"/>
                    <a:stretch>
                      <a:fillRect/>
                    </a:stretch>
                  </pic:blipFill>
                  <pic:spPr>
                    <a:xfrm>
                      <a:off x="0" y="0"/>
                      <a:ext cx="4713245" cy="1969770"/>
                    </a:xfrm>
                    <a:prstGeom prst="rect">
                      <a:avLst/>
                    </a:prstGeom>
                  </pic:spPr>
                </pic:pic>
              </a:graphicData>
            </a:graphic>
          </wp:inline>
        </w:drawing>
      </w:r>
      <w:r>
        <w:rPr>
          <w:sz w:val="20"/>
        </w:rPr>
      </w:r>
    </w:p>
    <w:p>
      <w:pPr>
        <w:pStyle w:val="ListParagraph"/>
        <w:numPr>
          <w:ilvl w:val="0"/>
          <w:numId w:val="9"/>
        </w:numPr>
        <w:tabs>
          <w:tab w:pos="1778" w:val="left" w:leader="none"/>
        </w:tabs>
        <w:spacing w:line="240" w:lineRule="auto" w:before="126" w:after="0"/>
        <w:ind w:left="1777" w:right="0" w:hanging="259"/>
        <w:jc w:val="left"/>
        <w:rPr>
          <w:sz w:val="24"/>
        </w:rPr>
      </w:pPr>
      <w:r>
        <w:rPr>
          <w:sz w:val="24"/>
        </w:rPr>
        <w:t>na drodze innej niż autostrada i droga</w:t>
      </w:r>
      <w:r>
        <w:rPr>
          <w:spacing w:val="-27"/>
          <w:sz w:val="24"/>
        </w:rPr>
        <w:t> </w:t>
      </w:r>
      <w:r>
        <w:rPr>
          <w:sz w:val="24"/>
        </w:rPr>
        <w:t>ekspresowa”,</w:t>
      </w:r>
    </w:p>
    <w:p>
      <w:pPr>
        <w:pStyle w:val="ListParagraph"/>
        <w:numPr>
          <w:ilvl w:val="1"/>
          <w:numId w:val="2"/>
        </w:numPr>
        <w:tabs>
          <w:tab w:pos="1301" w:val="left" w:leader="none"/>
        </w:tabs>
        <w:spacing w:line="240" w:lineRule="auto" w:before="138" w:after="0"/>
        <w:ind w:left="1301" w:right="0" w:hanging="180"/>
        <w:jc w:val="left"/>
        <w:rPr>
          <w:sz w:val="24"/>
        </w:rPr>
      </w:pPr>
      <w:r>
        <w:rPr/>
        <w:drawing>
          <wp:anchor distT="0" distB="0" distL="0" distR="0" allowOverlap="1" layoutInCell="1" locked="0" behindDoc="1" simplePos="0" relativeHeight="268415783">
            <wp:simplePos x="0" y="0"/>
            <wp:positionH relativeFrom="page">
              <wp:posOffset>2098370</wp:posOffset>
            </wp:positionH>
            <wp:positionV relativeFrom="paragraph">
              <wp:posOffset>350496</wp:posOffset>
            </wp:positionV>
            <wp:extent cx="4536000" cy="1878764"/>
            <wp:effectExtent l="0" t="0" r="0" b="0"/>
            <wp:wrapNone/>
            <wp:docPr id="53" name="image27.png" descr=""/>
            <wp:cNvGraphicFramePr>
              <a:graphicFrameLocks noChangeAspect="1"/>
            </wp:cNvGraphicFramePr>
            <a:graphic>
              <a:graphicData uri="http://schemas.openxmlformats.org/drawingml/2006/picture">
                <pic:pic>
                  <pic:nvPicPr>
                    <pic:cNvPr id="54" name="image27.png"/>
                    <pic:cNvPicPr/>
                  </pic:nvPicPr>
                  <pic:blipFill>
                    <a:blip r:embed="rId32" cstate="print"/>
                    <a:stretch>
                      <a:fillRect/>
                    </a:stretch>
                  </pic:blipFill>
                  <pic:spPr>
                    <a:xfrm>
                      <a:off x="0" y="0"/>
                      <a:ext cx="4536000" cy="1878764"/>
                    </a:xfrm>
                    <a:prstGeom prst="rect">
                      <a:avLst/>
                    </a:prstGeom>
                  </pic:spPr>
                </pic:pic>
              </a:graphicData>
            </a:graphic>
          </wp:anchor>
        </w:drawing>
      </w:r>
      <w:r>
        <w:rPr>
          <w:sz w:val="24"/>
        </w:rPr>
        <w:t>– po rysunku 9.5.53 dodaje się rysunek 9.5.53a i tabelę 9.5.7a w</w:t>
      </w:r>
      <w:r>
        <w:rPr>
          <w:spacing w:val="-5"/>
          <w:sz w:val="24"/>
        </w:rPr>
        <w:t> </w:t>
      </w:r>
      <w:r>
        <w:rPr>
          <w:sz w:val="24"/>
        </w:rPr>
        <w:t>brzmieniu:</w:t>
      </w: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spacing w:before="194"/>
        <w:ind w:left="1518"/>
      </w:pPr>
      <w:r>
        <w:rPr/>
        <w:t>„</w:t>
      </w:r>
    </w:p>
    <w:p>
      <w:pPr>
        <w:pStyle w:val="BodyText"/>
        <w:spacing w:line="360" w:lineRule="auto" w:before="138"/>
        <w:ind w:left="1518" w:right="800"/>
      </w:pPr>
      <w:r>
        <w:rPr/>
        <w:t>Rys. 9.5.53b. Konstrukcja znaku E-20a (wymiary jak w tabeli 9.5.7a) Tabela 9.5.7a. Wymiary znaku E-20a</w:t>
      </w:r>
    </w:p>
    <w:p>
      <w:pPr>
        <w:spacing w:after="0" w:line="360" w:lineRule="auto"/>
        <w:sectPr>
          <w:pgSz w:w="11910" w:h="16840"/>
          <w:pgMar w:header="719" w:footer="0" w:top="980" w:bottom="280" w:left="1680" w:right="1220"/>
        </w:sectPr>
      </w:pPr>
    </w:p>
    <w:p>
      <w:pPr>
        <w:pStyle w:val="BodyText"/>
        <w:rPr>
          <w:sz w:val="20"/>
        </w:rPr>
      </w:pPr>
    </w:p>
    <w:p>
      <w:pPr>
        <w:pStyle w:val="BodyText"/>
        <w:rPr>
          <w:sz w:val="20"/>
        </w:rPr>
      </w:pPr>
    </w:p>
    <w:p>
      <w:pPr>
        <w:pStyle w:val="BodyText"/>
        <w:rPr>
          <w:sz w:val="10"/>
        </w:rPr>
      </w:pPr>
    </w:p>
    <w:tbl>
      <w:tblPr>
        <w:tblW w:w="0" w:type="auto"/>
        <w:jc w:val="left"/>
        <w:tblInd w:w="157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552"/>
        <w:gridCol w:w="788"/>
        <w:gridCol w:w="788"/>
        <w:gridCol w:w="788"/>
        <w:gridCol w:w="788"/>
        <w:gridCol w:w="788"/>
        <w:gridCol w:w="789"/>
      </w:tblGrid>
      <w:tr>
        <w:trPr>
          <w:trHeight w:val="1262" w:hRule="exact"/>
        </w:trPr>
        <w:tc>
          <w:tcPr>
            <w:tcW w:w="2552" w:type="dxa"/>
          </w:tcPr>
          <w:p>
            <w:pPr>
              <w:pStyle w:val="TableParagraph"/>
              <w:ind w:left="60"/>
              <w:jc w:val="left"/>
              <w:rPr>
                <w:sz w:val="24"/>
              </w:rPr>
            </w:pPr>
            <w:r>
              <w:rPr>
                <w:sz w:val="24"/>
              </w:rPr>
              <w:t>Wysokość liter dużych</w:t>
            </w:r>
          </w:p>
          <w:p>
            <w:pPr>
              <w:pStyle w:val="TableParagraph"/>
              <w:spacing w:line="360" w:lineRule="auto" w:before="138"/>
              <w:ind w:left="60" w:right="1545"/>
              <w:jc w:val="left"/>
              <w:rPr>
                <w:sz w:val="24"/>
              </w:rPr>
            </w:pPr>
            <w:r>
              <w:rPr>
                <w:sz w:val="24"/>
              </w:rPr>
              <w:t>i cyfr „d” mm</w:t>
            </w:r>
          </w:p>
        </w:tc>
        <w:tc>
          <w:tcPr>
            <w:tcW w:w="788" w:type="dxa"/>
            <w:tcBorders>
              <w:right w:val="single" w:sz="4" w:space="0" w:color="000000"/>
            </w:tcBorders>
          </w:tcPr>
          <w:p>
            <w:pPr>
              <w:pStyle w:val="TableParagraph"/>
              <w:spacing w:before="11"/>
              <w:jc w:val="left"/>
              <w:rPr>
                <w:sz w:val="35"/>
              </w:rPr>
            </w:pPr>
          </w:p>
          <w:p>
            <w:pPr>
              <w:pStyle w:val="TableParagraph"/>
              <w:ind w:right="3"/>
              <w:rPr>
                <w:sz w:val="24"/>
              </w:rPr>
            </w:pPr>
            <w:r>
              <w:rPr>
                <w:sz w:val="24"/>
              </w:rPr>
              <w:t>h</w:t>
            </w:r>
          </w:p>
        </w:tc>
        <w:tc>
          <w:tcPr>
            <w:tcW w:w="788" w:type="dxa"/>
            <w:tcBorders>
              <w:left w:val="single" w:sz="4" w:space="0" w:color="000000"/>
              <w:right w:val="single" w:sz="4" w:space="0" w:color="000000"/>
            </w:tcBorders>
          </w:tcPr>
          <w:p>
            <w:pPr>
              <w:pStyle w:val="TableParagraph"/>
              <w:spacing w:before="11"/>
              <w:jc w:val="left"/>
              <w:rPr>
                <w:sz w:val="35"/>
              </w:rPr>
            </w:pPr>
          </w:p>
          <w:p>
            <w:pPr>
              <w:pStyle w:val="TableParagraph"/>
              <w:rPr>
                <w:sz w:val="24"/>
              </w:rPr>
            </w:pPr>
            <w:r>
              <w:rPr>
                <w:sz w:val="24"/>
              </w:rPr>
              <w:t>b</w:t>
            </w:r>
          </w:p>
        </w:tc>
        <w:tc>
          <w:tcPr>
            <w:tcW w:w="788" w:type="dxa"/>
            <w:tcBorders>
              <w:left w:val="single" w:sz="4" w:space="0" w:color="000000"/>
              <w:right w:val="single" w:sz="4" w:space="0" w:color="000000"/>
            </w:tcBorders>
          </w:tcPr>
          <w:p>
            <w:pPr>
              <w:pStyle w:val="TableParagraph"/>
              <w:spacing w:before="11"/>
              <w:jc w:val="left"/>
              <w:rPr>
                <w:sz w:val="35"/>
              </w:rPr>
            </w:pPr>
          </w:p>
          <w:p>
            <w:pPr>
              <w:pStyle w:val="TableParagraph"/>
              <w:rPr>
                <w:sz w:val="24"/>
              </w:rPr>
            </w:pPr>
            <w:r>
              <w:rPr>
                <w:sz w:val="24"/>
              </w:rPr>
              <w:t>k</w:t>
            </w:r>
          </w:p>
        </w:tc>
        <w:tc>
          <w:tcPr>
            <w:tcW w:w="788" w:type="dxa"/>
            <w:tcBorders>
              <w:left w:val="single" w:sz="4" w:space="0" w:color="000000"/>
              <w:right w:val="single" w:sz="4" w:space="0" w:color="000000"/>
            </w:tcBorders>
          </w:tcPr>
          <w:p>
            <w:pPr>
              <w:pStyle w:val="TableParagraph"/>
              <w:spacing w:before="11"/>
              <w:jc w:val="left"/>
              <w:rPr>
                <w:sz w:val="35"/>
              </w:rPr>
            </w:pPr>
          </w:p>
          <w:p>
            <w:pPr>
              <w:pStyle w:val="TableParagraph"/>
              <w:rPr>
                <w:sz w:val="24"/>
              </w:rPr>
            </w:pPr>
            <w:r>
              <w:rPr>
                <w:sz w:val="24"/>
              </w:rPr>
              <w:t>m</w:t>
            </w:r>
          </w:p>
        </w:tc>
        <w:tc>
          <w:tcPr>
            <w:tcW w:w="788" w:type="dxa"/>
            <w:tcBorders>
              <w:left w:val="single" w:sz="4" w:space="0" w:color="000000"/>
              <w:right w:val="single" w:sz="4" w:space="0" w:color="000000"/>
            </w:tcBorders>
          </w:tcPr>
          <w:p>
            <w:pPr>
              <w:pStyle w:val="TableParagraph"/>
              <w:spacing w:before="11"/>
              <w:jc w:val="left"/>
              <w:rPr>
                <w:sz w:val="35"/>
              </w:rPr>
            </w:pPr>
          </w:p>
          <w:p>
            <w:pPr>
              <w:pStyle w:val="TableParagraph"/>
              <w:ind w:right="328"/>
              <w:jc w:val="right"/>
              <w:rPr>
                <w:sz w:val="24"/>
              </w:rPr>
            </w:pPr>
            <w:r>
              <w:rPr>
                <w:sz w:val="24"/>
              </w:rPr>
              <w:t>p</w:t>
            </w:r>
          </w:p>
        </w:tc>
        <w:tc>
          <w:tcPr>
            <w:tcW w:w="789" w:type="dxa"/>
            <w:tcBorders>
              <w:left w:val="single" w:sz="4" w:space="0" w:color="000000"/>
            </w:tcBorders>
          </w:tcPr>
          <w:p>
            <w:pPr>
              <w:pStyle w:val="TableParagraph"/>
              <w:spacing w:before="11"/>
              <w:jc w:val="left"/>
              <w:rPr>
                <w:sz w:val="35"/>
              </w:rPr>
            </w:pPr>
          </w:p>
          <w:p>
            <w:pPr>
              <w:pStyle w:val="TableParagraph"/>
              <w:ind w:right="322"/>
              <w:jc w:val="right"/>
              <w:rPr>
                <w:sz w:val="24"/>
              </w:rPr>
            </w:pPr>
            <w:r>
              <w:rPr>
                <w:sz w:val="24"/>
              </w:rPr>
              <w:t>q</w:t>
            </w:r>
          </w:p>
        </w:tc>
      </w:tr>
      <w:tr>
        <w:trPr>
          <w:trHeight w:val="429" w:hRule="exact"/>
        </w:trPr>
        <w:tc>
          <w:tcPr>
            <w:tcW w:w="2552" w:type="dxa"/>
            <w:tcBorders>
              <w:bottom w:val="single" w:sz="4" w:space="0" w:color="000000"/>
            </w:tcBorders>
          </w:tcPr>
          <w:p>
            <w:pPr>
              <w:pStyle w:val="TableParagraph"/>
              <w:ind w:left="1085"/>
              <w:jc w:val="left"/>
              <w:rPr>
                <w:sz w:val="24"/>
              </w:rPr>
            </w:pPr>
            <w:r>
              <w:rPr>
                <w:sz w:val="24"/>
              </w:rPr>
              <w:t>420</w:t>
            </w:r>
          </w:p>
        </w:tc>
        <w:tc>
          <w:tcPr>
            <w:tcW w:w="788" w:type="dxa"/>
            <w:tcBorders>
              <w:bottom w:val="single" w:sz="4" w:space="0" w:color="000000"/>
              <w:right w:val="single" w:sz="4" w:space="0" w:color="000000"/>
            </w:tcBorders>
          </w:tcPr>
          <w:p>
            <w:pPr>
              <w:pStyle w:val="TableParagraph"/>
              <w:ind w:left="185" w:right="188"/>
              <w:rPr>
                <w:sz w:val="24"/>
              </w:rPr>
            </w:pPr>
            <w:r>
              <w:rPr>
                <w:sz w:val="24"/>
              </w:rPr>
              <w:t>705</w:t>
            </w:r>
          </w:p>
        </w:tc>
        <w:tc>
          <w:tcPr>
            <w:tcW w:w="788" w:type="dxa"/>
            <w:tcBorders>
              <w:left w:val="single" w:sz="4" w:space="0" w:color="000000"/>
              <w:bottom w:val="single" w:sz="4" w:space="0" w:color="000000"/>
              <w:right w:val="single" w:sz="4" w:space="0" w:color="000000"/>
            </w:tcBorders>
          </w:tcPr>
          <w:p>
            <w:pPr>
              <w:pStyle w:val="TableParagraph"/>
              <w:ind w:right="148"/>
              <w:jc w:val="right"/>
              <w:rPr>
                <w:sz w:val="24"/>
              </w:rPr>
            </w:pPr>
            <w:r>
              <w:rPr>
                <w:sz w:val="24"/>
              </w:rPr>
              <w:t>2050</w:t>
            </w:r>
          </w:p>
        </w:tc>
        <w:tc>
          <w:tcPr>
            <w:tcW w:w="788" w:type="dxa"/>
            <w:tcBorders>
              <w:left w:val="single" w:sz="4" w:space="0" w:color="000000"/>
              <w:bottom w:val="single" w:sz="4" w:space="0" w:color="000000"/>
              <w:right w:val="single" w:sz="4" w:space="0" w:color="000000"/>
            </w:tcBorders>
          </w:tcPr>
          <w:p>
            <w:pPr>
              <w:pStyle w:val="TableParagraph"/>
              <w:ind w:left="189" w:right="189"/>
              <w:rPr>
                <w:sz w:val="24"/>
              </w:rPr>
            </w:pPr>
            <w:r>
              <w:rPr>
                <w:sz w:val="24"/>
              </w:rPr>
              <w:t>485</w:t>
            </w:r>
          </w:p>
        </w:tc>
        <w:tc>
          <w:tcPr>
            <w:tcW w:w="788" w:type="dxa"/>
            <w:tcBorders>
              <w:left w:val="single" w:sz="4" w:space="0" w:color="000000"/>
              <w:bottom w:val="single" w:sz="4" w:space="0" w:color="000000"/>
              <w:right w:val="single" w:sz="4" w:space="0" w:color="000000"/>
            </w:tcBorders>
          </w:tcPr>
          <w:p>
            <w:pPr>
              <w:pStyle w:val="TableParagraph"/>
              <w:ind w:left="189" w:right="189"/>
              <w:rPr>
                <w:sz w:val="24"/>
              </w:rPr>
            </w:pPr>
            <w:r>
              <w:rPr>
                <w:sz w:val="24"/>
              </w:rPr>
              <w:t>675</w:t>
            </w:r>
          </w:p>
        </w:tc>
        <w:tc>
          <w:tcPr>
            <w:tcW w:w="788" w:type="dxa"/>
            <w:tcBorders>
              <w:left w:val="single" w:sz="4" w:space="0" w:color="000000"/>
              <w:bottom w:val="single" w:sz="4" w:space="0" w:color="000000"/>
              <w:right w:val="single" w:sz="4" w:space="0" w:color="000000"/>
            </w:tcBorders>
          </w:tcPr>
          <w:p>
            <w:pPr>
              <w:pStyle w:val="TableParagraph"/>
              <w:ind w:right="268"/>
              <w:jc w:val="right"/>
              <w:rPr>
                <w:sz w:val="24"/>
              </w:rPr>
            </w:pPr>
            <w:r>
              <w:rPr>
                <w:sz w:val="24"/>
              </w:rPr>
              <w:t>80</w:t>
            </w:r>
          </w:p>
        </w:tc>
        <w:tc>
          <w:tcPr>
            <w:tcW w:w="789" w:type="dxa"/>
            <w:tcBorders>
              <w:left w:val="single" w:sz="4" w:space="0" w:color="000000"/>
              <w:bottom w:val="single" w:sz="4" w:space="0" w:color="000000"/>
            </w:tcBorders>
          </w:tcPr>
          <w:p>
            <w:pPr>
              <w:pStyle w:val="TableParagraph"/>
              <w:ind w:right="262"/>
              <w:jc w:val="right"/>
              <w:rPr>
                <w:sz w:val="24"/>
              </w:rPr>
            </w:pPr>
            <w:r>
              <w:rPr>
                <w:sz w:val="24"/>
              </w:rPr>
              <w:t>65</w:t>
            </w:r>
          </w:p>
        </w:tc>
      </w:tr>
      <w:tr>
        <w:trPr>
          <w:trHeight w:val="424" w:hRule="exact"/>
        </w:trPr>
        <w:tc>
          <w:tcPr>
            <w:tcW w:w="2552" w:type="dxa"/>
            <w:tcBorders>
              <w:top w:val="single" w:sz="4" w:space="0" w:color="000000"/>
              <w:bottom w:val="single" w:sz="4" w:space="0" w:color="000000"/>
            </w:tcBorders>
          </w:tcPr>
          <w:p>
            <w:pPr>
              <w:pStyle w:val="TableParagraph"/>
              <w:ind w:left="1085"/>
              <w:jc w:val="left"/>
              <w:rPr>
                <w:sz w:val="24"/>
              </w:rPr>
            </w:pPr>
            <w:r>
              <w:rPr>
                <w:sz w:val="24"/>
              </w:rPr>
              <w:t>348</w:t>
            </w:r>
          </w:p>
        </w:tc>
        <w:tc>
          <w:tcPr>
            <w:tcW w:w="788" w:type="dxa"/>
            <w:tcBorders>
              <w:top w:val="single" w:sz="4" w:space="0" w:color="000000"/>
              <w:bottom w:val="single" w:sz="4" w:space="0" w:color="000000"/>
              <w:right w:val="single" w:sz="4" w:space="0" w:color="000000"/>
            </w:tcBorders>
          </w:tcPr>
          <w:p>
            <w:pPr>
              <w:pStyle w:val="TableParagraph"/>
              <w:ind w:left="185" w:right="188"/>
              <w:rPr>
                <w:sz w:val="24"/>
              </w:rPr>
            </w:pPr>
            <w:r>
              <w:rPr>
                <w:sz w:val="24"/>
              </w:rPr>
              <w:t>580</w:t>
            </w:r>
          </w:p>
        </w:tc>
        <w:tc>
          <w:tcPr>
            <w:tcW w:w="788" w:type="dxa"/>
            <w:tcBorders>
              <w:top w:val="single" w:sz="4" w:space="0" w:color="000000"/>
              <w:left w:val="single" w:sz="4" w:space="0" w:color="000000"/>
              <w:bottom w:val="single" w:sz="4" w:space="0" w:color="000000"/>
              <w:right w:val="single" w:sz="4" w:space="0" w:color="000000"/>
            </w:tcBorders>
          </w:tcPr>
          <w:p>
            <w:pPr>
              <w:pStyle w:val="TableParagraph"/>
              <w:ind w:right="148"/>
              <w:jc w:val="right"/>
              <w:rPr>
                <w:sz w:val="24"/>
              </w:rPr>
            </w:pPr>
            <w:r>
              <w:rPr>
                <w:sz w:val="24"/>
              </w:rPr>
              <w:t>1700</w:t>
            </w:r>
          </w:p>
        </w:tc>
        <w:tc>
          <w:tcPr>
            <w:tcW w:w="788" w:type="dxa"/>
            <w:tcBorders>
              <w:top w:val="single" w:sz="4" w:space="0" w:color="000000"/>
              <w:left w:val="single" w:sz="4" w:space="0" w:color="000000"/>
              <w:bottom w:val="single" w:sz="4" w:space="0" w:color="000000"/>
              <w:right w:val="single" w:sz="4" w:space="0" w:color="000000"/>
            </w:tcBorders>
          </w:tcPr>
          <w:p>
            <w:pPr>
              <w:pStyle w:val="TableParagraph"/>
              <w:ind w:left="189" w:right="189"/>
              <w:rPr>
                <w:sz w:val="24"/>
              </w:rPr>
            </w:pPr>
            <w:r>
              <w:rPr>
                <w:sz w:val="24"/>
              </w:rPr>
              <w:t>400</w:t>
            </w:r>
          </w:p>
        </w:tc>
        <w:tc>
          <w:tcPr>
            <w:tcW w:w="788" w:type="dxa"/>
            <w:tcBorders>
              <w:top w:val="single" w:sz="4" w:space="0" w:color="000000"/>
              <w:left w:val="single" w:sz="4" w:space="0" w:color="000000"/>
              <w:bottom w:val="single" w:sz="4" w:space="0" w:color="000000"/>
              <w:right w:val="single" w:sz="4" w:space="0" w:color="000000"/>
            </w:tcBorders>
          </w:tcPr>
          <w:p>
            <w:pPr>
              <w:pStyle w:val="TableParagraph"/>
              <w:ind w:left="189" w:right="189"/>
              <w:rPr>
                <w:sz w:val="24"/>
              </w:rPr>
            </w:pPr>
            <w:r>
              <w:rPr>
                <w:sz w:val="24"/>
              </w:rPr>
              <w:t>557</w:t>
            </w:r>
          </w:p>
        </w:tc>
        <w:tc>
          <w:tcPr>
            <w:tcW w:w="788" w:type="dxa"/>
            <w:tcBorders>
              <w:top w:val="single" w:sz="4" w:space="0" w:color="000000"/>
              <w:left w:val="single" w:sz="4" w:space="0" w:color="000000"/>
              <w:bottom w:val="single" w:sz="4" w:space="0" w:color="000000"/>
              <w:right w:val="single" w:sz="4" w:space="0" w:color="000000"/>
            </w:tcBorders>
          </w:tcPr>
          <w:p>
            <w:pPr>
              <w:pStyle w:val="TableParagraph"/>
              <w:ind w:right="268"/>
              <w:jc w:val="right"/>
              <w:rPr>
                <w:sz w:val="24"/>
              </w:rPr>
            </w:pPr>
            <w:r>
              <w:rPr>
                <w:sz w:val="24"/>
              </w:rPr>
              <w:t>60</w:t>
            </w:r>
          </w:p>
        </w:tc>
        <w:tc>
          <w:tcPr>
            <w:tcW w:w="789" w:type="dxa"/>
            <w:tcBorders>
              <w:top w:val="single" w:sz="4" w:space="0" w:color="000000"/>
              <w:left w:val="single" w:sz="4" w:space="0" w:color="000000"/>
              <w:bottom w:val="single" w:sz="4" w:space="0" w:color="000000"/>
            </w:tcBorders>
          </w:tcPr>
          <w:p>
            <w:pPr>
              <w:pStyle w:val="TableParagraph"/>
              <w:ind w:right="262"/>
              <w:jc w:val="right"/>
              <w:rPr>
                <w:sz w:val="24"/>
              </w:rPr>
            </w:pPr>
            <w:r>
              <w:rPr>
                <w:sz w:val="24"/>
              </w:rPr>
              <w:t>50</w:t>
            </w:r>
          </w:p>
        </w:tc>
      </w:tr>
      <w:tr>
        <w:trPr>
          <w:trHeight w:val="424" w:hRule="exact"/>
        </w:trPr>
        <w:tc>
          <w:tcPr>
            <w:tcW w:w="2552" w:type="dxa"/>
            <w:tcBorders>
              <w:top w:val="single" w:sz="4" w:space="0" w:color="000000"/>
              <w:bottom w:val="single" w:sz="4" w:space="0" w:color="000000"/>
            </w:tcBorders>
          </w:tcPr>
          <w:p>
            <w:pPr>
              <w:pStyle w:val="TableParagraph"/>
              <w:ind w:left="1085"/>
              <w:jc w:val="left"/>
              <w:rPr>
                <w:sz w:val="24"/>
              </w:rPr>
            </w:pPr>
            <w:r>
              <w:rPr>
                <w:sz w:val="24"/>
              </w:rPr>
              <w:t>282</w:t>
            </w:r>
          </w:p>
        </w:tc>
        <w:tc>
          <w:tcPr>
            <w:tcW w:w="788" w:type="dxa"/>
            <w:tcBorders>
              <w:top w:val="single" w:sz="4" w:space="0" w:color="000000"/>
              <w:bottom w:val="single" w:sz="4" w:space="0" w:color="000000"/>
              <w:right w:val="single" w:sz="4" w:space="0" w:color="000000"/>
            </w:tcBorders>
          </w:tcPr>
          <w:p>
            <w:pPr>
              <w:pStyle w:val="TableParagraph"/>
              <w:ind w:left="185" w:right="188"/>
              <w:rPr>
                <w:sz w:val="24"/>
              </w:rPr>
            </w:pPr>
            <w:r>
              <w:rPr>
                <w:sz w:val="24"/>
              </w:rPr>
              <w:t>470</w:t>
            </w:r>
          </w:p>
        </w:tc>
        <w:tc>
          <w:tcPr>
            <w:tcW w:w="788" w:type="dxa"/>
            <w:tcBorders>
              <w:top w:val="single" w:sz="4" w:space="0" w:color="000000"/>
              <w:left w:val="single" w:sz="4" w:space="0" w:color="000000"/>
              <w:bottom w:val="single" w:sz="4" w:space="0" w:color="000000"/>
              <w:right w:val="single" w:sz="4" w:space="0" w:color="000000"/>
            </w:tcBorders>
          </w:tcPr>
          <w:p>
            <w:pPr>
              <w:pStyle w:val="TableParagraph"/>
              <w:ind w:right="148"/>
              <w:jc w:val="right"/>
              <w:rPr>
                <w:sz w:val="24"/>
              </w:rPr>
            </w:pPr>
            <w:r>
              <w:rPr>
                <w:sz w:val="24"/>
              </w:rPr>
              <w:t>1375</w:t>
            </w:r>
          </w:p>
        </w:tc>
        <w:tc>
          <w:tcPr>
            <w:tcW w:w="788" w:type="dxa"/>
            <w:tcBorders>
              <w:top w:val="single" w:sz="4" w:space="0" w:color="000000"/>
              <w:left w:val="single" w:sz="4" w:space="0" w:color="000000"/>
              <w:bottom w:val="single" w:sz="4" w:space="0" w:color="000000"/>
              <w:right w:val="single" w:sz="4" w:space="0" w:color="000000"/>
            </w:tcBorders>
          </w:tcPr>
          <w:p>
            <w:pPr>
              <w:pStyle w:val="TableParagraph"/>
              <w:ind w:left="189" w:right="189"/>
              <w:rPr>
                <w:sz w:val="24"/>
              </w:rPr>
            </w:pPr>
            <w:r>
              <w:rPr>
                <w:sz w:val="24"/>
              </w:rPr>
              <w:t>320</w:t>
            </w:r>
          </w:p>
        </w:tc>
        <w:tc>
          <w:tcPr>
            <w:tcW w:w="788" w:type="dxa"/>
            <w:tcBorders>
              <w:top w:val="single" w:sz="4" w:space="0" w:color="000000"/>
              <w:left w:val="single" w:sz="4" w:space="0" w:color="000000"/>
              <w:bottom w:val="single" w:sz="4" w:space="0" w:color="000000"/>
              <w:right w:val="single" w:sz="4" w:space="0" w:color="000000"/>
            </w:tcBorders>
          </w:tcPr>
          <w:p>
            <w:pPr>
              <w:pStyle w:val="TableParagraph"/>
              <w:ind w:left="189" w:right="189"/>
              <w:rPr>
                <w:sz w:val="24"/>
              </w:rPr>
            </w:pPr>
            <w:r>
              <w:rPr>
                <w:sz w:val="24"/>
              </w:rPr>
              <w:t>445</w:t>
            </w:r>
          </w:p>
        </w:tc>
        <w:tc>
          <w:tcPr>
            <w:tcW w:w="788" w:type="dxa"/>
            <w:tcBorders>
              <w:top w:val="single" w:sz="4" w:space="0" w:color="000000"/>
              <w:left w:val="single" w:sz="4" w:space="0" w:color="000000"/>
              <w:bottom w:val="single" w:sz="4" w:space="0" w:color="000000"/>
              <w:right w:val="single" w:sz="4" w:space="0" w:color="000000"/>
            </w:tcBorders>
          </w:tcPr>
          <w:p>
            <w:pPr>
              <w:pStyle w:val="TableParagraph"/>
              <w:ind w:right="268"/>
              <w:jc w:val="right"/>
              <w:rPr>
                <w:sz w:val="24"/>
              </w:rPr>
            </w:pPr>
            <w:r>
              <w:rPr>
                <w:sz w:val="24"/>
              </w:rPr>
              <w:t>45</w:t>
            </w:r>
          </w:p>
        </w:tc>
        <w:tc>
          <w:tcPr>
            <w:tcW w:w="789" w:type="dxa"/>
            <w:tcBorders>
              <w:top w:val="single" w:sz="4" w:space="0" w:color="000000"/>
              <w:left w:val="single" w:sz="4" w:space="0" w:color="000000"/>
              <w:bottom w:val="single" w:sz="4" w:space="0" w:color="000000"/>
            </w:tcBorders>
          </w:tcPr>
          <w:p>
            <w:pPr>
              <w:pStyle w:val="TableParagraph"/>
              <w:ind w:right="262"/>
              <w:jc w:val="right"/>
              <w:rPr>
                <w:sz w:val="24"/>
              </w:rPr>
            </w:pPr>
            <w:r>
              <w:rPr>
                <w:sz w:val="24"/>
              </w:rPr>
              <w:t>36</w:t>
            </w:r>
          </w:p>
        </w:tc>
      </w:tr>
      <w:tr>
        <w:trPr>
          <w:trHeight w:val="424" w:hRule="exact"/>
        </w:trPr>
        <w:tc>
          <w:tcPr>
            <w:tcW w:w="2552" w:type="dxa"/>
            <w:tcBorders>
              <w:top w:val="single" w:sz="4" w:space="0" w:color="000000"/>
              <w:bottom w:val="single" w:sz="4" w:space="0" w:color="000000"/>
            </w:tcBorders>
          </w:tcPr>
          <w:p>
            <w:pPr>
              <w:pStyle w:val="TableParagraph"/>
              <w:ind w:left="1085"/>
              <w:jc w:val="left"/>
              <w:rPr>
                <w:sz w:val="24"/>
              </w:rPr>
            </w:pPr>
            <w:r>
              <w:rPr>
                <w:sz w:val="24"/>
              </w:rPr>
              <w:t>210</w:t>
            </w:r>
          </w:p>
        </w:tc>
        <w:tc>
          <w:tcPr>
            <w:tcW w:w="788" w:type="dxa"/>
            <w:tcBorders>
              <w:top w:val="single" w:sz="4" w:space="0" w:color="000000"/>
              <w:bottom w:val="single" w:sz="4" w:space="0" w:color="000000"/>
              <w:right w:val="single" w:sz="4" w:space="0" w:color="000000"/>
            </w:tcBorders>
          </w:tcPr>
          <w:p>
            <w:pPr>
              <w:pStyle w:val="TableParagraph"/>
              <w:ind w:left="185" w:right="188"/>
              <w:rPr>
                <w:sz w:val="24"/>
              </w:rPr>
            </w:pPr>
            <w:r>
              <w:rPr>
                <w:sz w:val="24"/>
              </w:rPr>
              <w:t>350</w:t>
            </w:r>
          </w:p>
        </w:tc>
        <w:tc>
          <w:tcPr>
            <w:tcW w:w="788" w:type="dxa"/>
            <w:tcBorders>
              <w:top w:val="single" w:sz="4" w:space="0" w:color="000000"/>
              <w:left w:val="single" w:sz="4" w:space="0" w:color="000000"/>
              <w:bottom w:val="single" w:sz="4" w:space="0" w:color="000000"/>
              <w:right w:val="single" w:sz="4" w:space="0" w:color="000000"/>
            </w:tcBorders>
          </w:tcPr>
          <w:p>
            <w:pPr>
              <w:pStyle w:val="TableParagraph"/>
              <w:ind w:right="148"/>
              <w:jc w:val="right"/>
              <w:rPr>
                <w:sz w:val="24"/>
              </w:rPr>
            </w:pPr>
            <w:r>
              <w:rPr>
                <w:sz w:val="24"/>
              </w:rPr>
              <w:t>1025</w:t>
            </w:r>
          </w:p>
        </w:tc>
        <w:tc>
          <w:tcPr>
            <w:tcW w:w="788" w:type="dxa"/>
            <w:tcBorders>
              <w:top w:val="single" w:sz="4" w:space="0" w:color="000000"/>
              <w:left w:val="single" w:sz="4" w:space="0" w:color="000000"/>
              <w:bottom w:val="single" w:sz="4" w:space="0" w:color="000000"/>
              <w:right w:val="single" w:sz="4" w:space="0" w:color="000000"/>
            </w:tcBorders>
          </w:tcPr>
          <w:p>
            <w:pPr>
              <w:pStyle w:val="TableParagraph"/>
              <w:ind w:left="189" w:right="189"/>
              <w:rPr>
                <w:sz w:val="24"/>
              </w:rPr>
            </w:pPr>
            <w:r>
              <w:rPr>
                <w:sz w:val="24"/>
              </w:rPr>
              <w:t>220</w:t>
            </w:r>
          </w:p>
        </w:tc>
        <w:tc>
          <w:tcPr>
            <w:tcW w:w="788" w:type="dxa"/>
            <w:tcBorders>
              <w:top w:val="single" w:sz="4" w:space="0" w:color="000000"/>
              <w:left w:val="single" w:sz="4" w:space="0" w:color="000000"/>
              <w:bottom w:val="single" w:sz="4" w:space="0" w:color="000000"/>
              <w:right w:val="single" w:sz="4" w:space="0" w:color="000000"/>
            </w:tcBorders>
          </w:tcPr>
          <w:p>
            <w:pPr>
              <w:pStyle w:val="TableParagraph"/>
              <w:ind w:left="189" w:right="189"/>
              <w:rPr>
                <w:sz w:val="24"/>
              </w:rPr>
            </w:pPr>
            <w:r>
              <w:rPr>
                <w:sz w:val="24"/>
              </w:rPr>
              <w:t>306</w:t>
            </w:r>
          </w:p>
        </w:tc>
        <w:tc>
          <w:tcPr>
            <w:tcW w:w="788" w:type="dxa"/>
            <w:tcBorders>
              <w:top w:val="single" w:sz="4" w:space="0" w:color="000000"/>
              <w:left w:val="single" w:sz="4" w:space="0" w:color="000000"/>
              <w:bottom w:val="single" w:sz="4" w:space="0" w:color="000000"/>
              <w:right w:val="single" w:sz="4" w:space="0" w:color="000000"/>
            </w:tcBorders>
          </w:tcPr>
          <w:p>
            <w:pPr>
              <w:pStyle w:val="TableParagraph"/>
              <w:ind w:right="268"/>
              <w:jc w:val="right"/>
              <w:rPr>
                <w:sz w:val="24"/>
              </w:rPr>
            </w:pPr>
            <w:r>
              <w:rPr>
                <w:sz w:val="24"/>
              </w:rPr>
              <w:t>35</w:t>
            </w:r>
          </w:p>
        </w:tc>
        <w:tc>
          <w:tcPr>
            <w:tcW w:w="789" w:type="dxa"/>
            <w:tcBorders>
              <w:top w:val="single" w:sz="4" w:space="0" w:color="000000"/>
              <w:left w:val="single" w:sz="4" w:space="0" w:color="000000"/>
              <w:bottom w:val="single" w:sz="4" w:space="0" w:color="000000"/>
            </w:tcBorders>
          </w:tcPr>
          <w:p>
            <w:pPr>
              <w:pStyle w:val="TableParagraph"/>
              <w:ind w:right="262"/>
              <w:jc w:val="right"/>
              <w:rPr>
                <w:sz w:val="24"/>
              </w:rPr>
            </w:pPr>
            <w:r>
              <w:rPr>
                <w:sz w:val="24"/>
              </w:rPr>
              <w:t>28</w:t>
            </w:r>
          </w:p>
        </w:tc>
      </w:tr>
      <w:tr>
        <w:trPr>
          <w:trHeight w:val="429" w:hRule="exact"/>
        </w:trPr>
        <w:tc>
          <w:tcPr>
            <w:tcW w:w="2552" w:type="dxa"/>
            <w:tcBorders>
              <w:top w:val="single" w:sz="4" w:space="0" w:color="000000"/>
            </w:tcBorders>
          </w:tcPr>
          <w:p>
            <w:pPr>
              <w:pStyle w:val="TableParagraph"/>
              <w:ind w:left="1085"/>
              <w:jc w:val="left"/>
              <w:rPr>
                <w:sz w:val="24"/>
              </w:rPr>
            </w:pPr>
            <w:r>
              <w:rPr>
                <w:sz w:val="24"/>
              </w:rPr>
              <w:t>162</w:t>
            </w:r>
          </w:p>
        </w:tc>
        <w:tc>
          <w:tcPr>
            <w:tcW w:w="788" w:type="dxa"/>
            <w:tcBorders>
              <w:top w:val="single" w:sz="4" w:space="0" w:color="000000"/>
              <w:right w:val="single" w:sz="4" w:space="0" w:color="000000"/>
            </w:tcBorders>
          </w:tcPr>
          <w:p>
            <w:pPr>
              <w:pStyle w:val="TableParagraph"/>
              <w:ind w:left="185" w:right="188"/>
              <w:rPr>
                <w:sz w:val="24"/>
              </w:rPr>
            </w:pPr>
            <w:r>
              <w:rPr>
                <w:sz w:val="24"/>
              </w:rPr>
              <w:t>270</w:t>
            </w:r>
          </w:p>
        </w:tc>
        <w:tc>
          <w:tcPr>
            <w:tcW w:w="788" w:type="dxa"/>
            <w:tcBorders>
              <w:top w:val="single" w:sz="4" w:space="0" w:color="000000"/>
              <w:left w:val="single" w:sz="4" w:space="0" w:color="000000"/>
              <w:right w:val="single" w:sz="4" w:space="0" w:color="000000"/>
            </w:tcBorders>
          </w:tcPr>
          <w:p>
            <w:pPr>
              <w:pStyle w:val="TableParagraph"/>
              <w:ind w:right="208"/>
              <w:jc w:val="right"/>
              <w:rPr>
                <w:sz w:val="24"/>
              </w:rPr>
            </w:pPr>
            <w:r>
              <w:rPr>
                <w:sz w:val="24"/>
              </w:rPr>
              <w:t>790</w:t>
            </w:r>
          </w:p>
        </w:tc>
        <w:tc>
          <w:tcPr>
            <w:tcW w:w="788" w:type="dxa"/>
            <w:tcBorders>
              <w:top w:val="single" w:sz="4" w:space="0" w:color="000000"/>
              <w:left w:val="single" w:sz="4" w:space="0" w:color="000000"/>
              <w:right w:val="single" w:sz="4" w:space="0" w:color="000000"/>
            </w:tcBorders>
          </w:tcPr>
          <w:p>
            <w:pPr>
              <w:pStyle w:val="TableParagraph"/>
              <w:ind w:left="189" w:right="189"/>
              <w:rPr>
                <w:sz w:val="24"/>
              </w:rPr>
            </w:pPr>
            <w:r>
              <w:rPr>
                <w:sz w:val="24"/>
              </w:rPr>
              <w:t>160</w:t>
            </w:r>
          </w:p>
        </w:tc>
        <w:tc>
          <w:tcPr>
            <w:tcW w:w="788" w:type="dxa"/>
            <w:tcBorders>
              <w:top w:val="single" w:sz="4" w:space="0" w:color="000000"/>
              <w:left w:val="single" w:sz="4" w:space="0" w:color="000000"/>
              <w:right w:val="single" w:sz="4" w:space="0" w:color="000000"/>
            </w:tcBorders>
          </w:tcPr>
          <w:p>
            <w:pPr>
              <w:pStyle w:val="TableParagraph"/>
              <w:ind w:left="189" w:right="189"/>
              <w:rPr>
                <w:sz w:val="24"/>
              </w:rPr>
            </w:pPr>
            <w:r>
              <w:rPr>
                <w:sz w:val="24"/>
              </w:rPr>
              <w:t>223</w:t>
            </w:r>
          </w:p>
        </w:tc>
        <w:tc>
          <w:tcPr>
            <w:tcW w:w="788" w:type="dxa"/>
            <w:tcBorders>
              <w:top w:val="single" w:sz="4" w:space="0" w:color="000000"/>
              <w:left w:val="single" w:sz="4" w:space="0" w:color="000000"/>
              <w:right w:val="single" w:sz="4" w:space="0" w:color="000000"/>
            </w:tcBorders>
          </w:tcPr>
          <w:p>
            <w:pPr>
              <w:pStyle w:val="TableParagraph"/>
              <w:ind w:right="268"/>
              <w:jc w:val="right"/>
              <w:rPr>
                <w:sz w:val="24"/>
              </w:rPr>
            </w:pPr>
            <w:r>
              <w:rPr>
                <w:sz w:val="24"/>
              </w:rPr>
              <w:t>25</w:t>
            </w:r>
          </w:p>
        </w:tc>
        <w:tc>
          <w:tcPr>
            <w:tcW w:w="789" w:type="dxa"/>
            <w:tcBorders>
              <w:top w:val="single" w:sz="4" w:space="0" w:color="000000"/>
              <w:left w:val="single" w:sz="4" w:space="0" w:color="000000"/>
            </w:tcBorders>
          </w:tcPr>
          <w:p>
            <w:pPr>
              <w:pStyle w:val="TableParagraph"/>
              <w:ind w:right="262"/>
              <w:jc w:val="right"/>
              <w:rPr>
                <w:sz w:val="24"/>
              </w:rPr>
            </w:pPr>
            <w:r>
              <w:rPr>
                <w:sz w:val="24"/>
              </w:rPr>
              <w:t>20</w:t>
            </w:r>
          </w:p>
        </w:tc>
      </w:tr>
    </w:tbl>
    <w:p>
      <w:pPr>
        <w:pStyle w:val="BodyText"/>
        <w:spacing w:line="360" w:lineRule="auto"/>
        <w:ind w:left="1518"/>
      </w:pPr>
      <w:r>
        <w:rPr/>
        <w:t>Wysokość liter należy przyjąć zgodnie z największą przyjętą wysokością na znaku, nad którym umieszczono znak E-20a.”,</w:t>
      </w:r>
    </w:p>
    <w:p>
      <w:pPr>
        <w:pStyle w:val="ListParagraph"/>
        <w:numPr>
          <w:ilvl w:val="0"/>
          <w:numId w:val="2"/>
        </w:numPr>
        <w:tabs>
          <w:tab w:pos="1121" w:val="left" w:leader="none"/>
          <w:tab w:pos="1122" w:val="left" w:leader="none"/>
        </w:tabs>
        <w:spacing w:line="240" w:lineRule="auto" w:before="5" w:after="0"/>
        <w:ind w:left="1122" w:right="0" w:hanging="397"/>
        <w:jc w:val="left"/>
        <w:rPr>
          <w:sz w:val="24"/>
        </w:rPr>
      </w:pPr>
      <w:r>
        <w:rPr/>
        <w:drawing>
          <wp:anchor distT="0" distB="0" distL="0" distR="0" allowOverlap="1" layoutInCell="1" locked="0" behindDoc="1" simplePos="0" relativeHeight="268415807">
            <wp:simplePos x="0" y="0"/>
            <wp:positionH relativeFrom="page">
              <wp:posOffset>1846275</wp:posOffset>
            </wp:positionH>
            <wp:positionV relativeFrom="paragraph">
              <wp:posOffset>266041</wp:posOffset>
            </wp:positionV>
            <wp:extent cx="4787999" cy="2576439"/>
            <wp:effectExtent l="0" t="0" r="0" b="0"/>
            <wp:wrapNone/>
            <wp:docPr id="55" name="image28.jpeg" descr=""/>
            <wp:cNvGraphicFramePr>
              <a:graphicFrameLocks noChangeAspect="1"/>
            </wp:cNvGraphicFramePr>
            <a:graphic>
              <a:graphicData uri="http://schemas.openxmlformats.org/drawingml/2006/picture">
                <pic:pic>
                  <pic:nvPicPr>
                    <pic:cNvPr id="56" name="image28.jpeg"/>
                    <pic:cNvPicPr/>
                  </pic:nvPicPr>
                  <pic:blipFill>
                    <a:blip r:embed="rId33" cstate="print"/>
                    <a:stretch>
                      <a:fillRect/>
                    </a:stretch>
                  </pic:blipFill>
                  <pic:spPr>
                    <a:xfrm>
                      <a:off x="0" y="0"/>
                      <a:ext cx="4787999" cy="2576439"/>
                    </a:xfrm>
                    <a:prstGeom prst="rect">
                      <a:avLst/>
                    </a:prstGeom>
                  </pic:spPr>
                </pic:pic>
              </a:graphicData>
            </a:graphic>
          </wp:anchor>
        </w:drawing>
      </w:r>
      <w:r>
        <w:rPr>
          <w:sz w:val="24"/>
        </w:rPr>
        <w:t>w pkt 9.6  dodaje się rysunki 9.6.31 i 9.6.32 w</w:t>
      </w:r>
      <w:r>
        <w:rPr>
          <w:spacing w:val="-7"/>
          <w:sz w:val="24"/>
        </w:rPr>
        <w:t> </w:t>
      </w:r>
      <w:r>
        <w:rPr>
          <w:sz w:val="24"/>
        </w:rPr>
        <w:t>brzmieniu:</w:t>
      </w: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spacing w:before="4"/>
        <w:rPr>
          <w:sz w:val="33"/>
        </w:rPr>
      </w:pPr>
    </w:p>
    <w:p>
      <w:pPr>
        <w:pStyle w:val="BodyText"/>
        <w:ind w:left="1121"/>
      </w:pPr>
      <w:r>
        <w:rPr/>
        <w:t>„</w:t>
      </w:r>
    </w:p>
    <w:p>
      <w:pPr>
        <w:pStyle w:val="BodyText"/>
        <w:spacing w:before="138"/>
        <w:ind w:left="1121"/>
      </w:pPr>
      <w:r>
        <w:rPr/>
        <w:t>Rys. 9.6.31. Konstrukcja znaku F-23</w:t>
      </w:r>
    </w:p>
    <w:p>
      <w:pPr>
        <w:spacing w:after="0"/>
        <w:sectPr>
          <w:pgSz w:w="11910" w:h="16840"/>
          <w:pgMar w:header="719" w:footer="0" w:top="980" w:bottom="280" w:left="1680" w:right="1240"/>
        </w:sectPr>
      </w:pPr>
    </w:p>
    <w:p>
      <w:pPr>
        <w:pStyle w:val="BodyText"/>
        <w:rPr>
          <w:sz w:val="20"/>
        </w:rPr>
      </w:pPr>
    </w:p>
    <w:p>
      <w:pPr>
        <w:pStyle w:val="BodyText"/>
        <w:rPr>
          <w:sz w:val="20"/>
        </w:rPr>
      </w:pPr>
    </w:p>
    <w:p>
      <w:pPr>
        <w:pStyle w:val="BodyText"/>
        <w:rPr>
          <w:sz w:val="10"/>
        </w:rPr>
      </w:pPr>
    </w:p>
    <w:p>
      <w:pPr>
        <w:pStyle w:val="BodyText"/>
        <w:ind w:left="1501"/>
        <w:rPr>
          <w:sz w:val="20"/>
        </w:rPr>
      </w:pPr>
      <w:r>
        <w:rPr>
          <w:sz w:val="20"/>
        </w:rPr>
        <w:drawing>
          <wp:inline distT="0" distB="0" distL="0" distR="0">
            <wp:extent cx="4787672" cy="5223414"/>
            <wp:effectExtent l="0" t="0" r="0" b="0"/>
            <wp:docPr id="57" name="image29.png" descr=""/>
            <wp:cNvGraphicFramePr>
              <a:graphicFrameLocks noChangeAspect="1"/>
            </wp:cNvGraphicFramePr>
            <a:graphic>
              <a:graphicData uri="http://schemas.openxmlformats.org/drawingml/2006/picture">
                <pic:pic>
                  <pic:nvPicPr>
                    <pic:cNvPr id="58" name="image29.png"/>
                    <pic:cNvPicPr/>
                  </pic:nvPicPr>
                  <pic:blipFill>
                    <a:blip r:embed="rId34" cstate="print"/>
                    <a:stretch>
                      <a:fillRect/>
                    </a:stretch>
                  </pic:blipFill>
                  <pic:spPr>
                    <a:xfrm>
                      <a:off x="0" y="0"/>
                      <a:ext cx="4787672" cy="5223414"/>
                    </a:xfrm>
                    <a:prstGeom prst="rect">
                      <a:avLst/>
                    </a:prstGeom>
                  </pic:spPr>
                </pic:pic>
              </a:graphicData>
            </a:graphic>
          </wp:inline>
        </w:drawing>
      </w:r>
      <w:r>
        <w:rPr>
          <w:sz w:val="20"/>
        </w:rPr>
      </w:r>
    </w:p>
    <w:p>
      <w:pPr>
        <w:pStyle w:val="BodyText"/>
        <w:spacing w:before="138"/>
        <w:ind w:left="1501"/>
      </w:pPr>
      <w:r>
        <w:rPr/>
        <w:t>Rys. 9.6.32. Konstrukcja znaku F-24”;</w:t>
      </w:r>
    </w:p>
    <w:p>
      <w:pPr>
        <w:pStyle w:val="ListParagraph"/>
        <w:numPr>
          <w:ilvl w:val="0"/>
          <w:numId w:val="10"/>
        </w:numPr>
        <w:tabs>
          <w:tab w:pos="627" w:val="left" w:leader="none"/>
          <w:tab w:pos="628" w:val="left" w:leader="none"/>
        </w:tabs>
        <w:spacing w:line="240" w:lineRule="auto" w:before="137" w:after="0"/>
        <w:ind w:left="628" w:right="0" w:hanging="510"/>
        <w:jc w:val="left"/>
        <w:rPr>
          <w:sz w:val="24"/>
        </w:rPr>
      </w:pPr>
      <w:r>
        <w:rPr>
          <w:sz w:val="24"/>
        </w:rPr>
        <w:t>w załączniku nr</w:t>
      </w:r>
      <w:r>
        <w:rPr>
          <w:spacing w:val="-3"/>
          <w:sz w:val="24"/>
        </w:rPr>
        <w:t> </w:t>
      </w:r>
      <w:r>
        <w:rPr>
          <w:sz w:val="24"/>
        </w:rPr>
        <w:t>2:</w:t>
      </w:r>
    </w:p>
    <w:p>
      <w:pPr>
        <w:pStyle w:val="ListParagraph"/>
        <w:numPr>
          <w:ilvl w:val="1"/>
          <w:numId w:val="10"/>
        </w:numPr>
        <w:tabs>
          <w:tab w:pos="1103" w:val="left" w:leader="none"/>
          <w:tab w:pos="1104" w:val="left" w:leader="none"/>
        </w:tabs>
        <w:spacing w:line="240" w:lineRule="auto" w:before="137" w:after="0"/>
        <w:ind w:left="1104" w:right="0" w:hanging="476"/>
        <w:jc w:val="left"/>
        <w:rPr>
          <w:sz w:val="24"/>
        </w:rPr>
      </w:pPr>
      <w:r>
        <w:rPr>
          <w:sz w:val="24"/>
        </w:rPr>
        <w:t>w części 2 „Znaki</w:t>
      </w:r>
      <w:r>
        <w:rPr>
          <w:spacing w:val="-9"/>
          <w:sz w:val="24"/>
        </w:rPr>
        <w:t> </w:t>
      </w:r>
      <w:r>
        <w:rPr>
          <w:sz w:val="24"/>
        </w:rPr>
        <w:t>podłużne”:</w:t>
      </w:r>
    </w:p>
    <w:p>
      <w:pPr>
        <w:pStyle w:val="ListParagraph"/>
        <w:numPr>
          <w:ilvl w:val="2"/>
          <w:numId w:val="10"/>
        </w:numPr>
        <w:tabs>
          <w:tab w:pos="1501" w:val="left" w:leader="none"/>
          <w:tab w:pos="1502" w:val="left" w:leader="none"/>
        </w:tabs>
        <w:spacing w:line="240" w:lineRule="auto" w:before="137" w:after="0"/>
        <w:ind w:left="1518" w:right="0" w:hanging="413"/>
        <w:jc w:val="left"/>
        <w:rPr>
          <w:sz w:val="24"/>
        </w:rPr>
      </w:pPr>
      <w:r>
        <w:rPr>
          <w:sz w:val="24"/>
        </w:rPr>
        <w:t>w pkt 2.2.1.3 akapit pierwszy otrzymuje</w:t>
      </w:r>
      <w:r>
        <w:rPr>
          <w:spacing w:val="-9"/>
          <w:sz w:val="24"/>
        </w:rPr>
        <w:t> </w:t>
      </w:r>
      <w:r>
        <w:rPr>
          <w:sz w:val="24"/>
        </w:rPr>
        <w:t>brzmienie:</w:t>
      </w:r>
    </w:p>
    <w:p>
      <w:pPr>
        <w:pStyle w:val="BodyText"/>
        <w:spacing w:before="137"/>
        <w:ind w:left="1501"/>
      </w:pPr>
      <w:r>
        <w:rPr/>
        <w:t>„Znak P-1c „linia pojedyncza przerywana – wydzielająca” (rys. 2.2.1.3) stosuje</w:t>
      </w:r>
    </w:p>
    <w:p>
      <w:pPr>
        <w:pStyle w:val="BodyText"/>
        <w:spacing w:before="137"/>
        <w:ind w:left="1501"/>
      </w:pPr>
      <w:r>
        <w:rPr/>
        <w:t>się do oddzielenia od pasa ruchu następujących pasów:</w:t>
      </w:r>
    </w:p>
    <w:p>
      <w:pPr>
        <w:pStyle w:val="ListParagraph"/>
        <w:numPr>
          <w:ilvl w:val="3"/>
          <w:numId w:val="10"/>
        </w:numPr>
        <w:tabs>
          <w:tab w:pos="1897" w:val="left" w:leader="none"/>
          <w:tab w:pos="1898" w:val="left" w:leader="none"/>
        </w:tabs>
        <w:spacing w:line="240" w:lineRule="auto" w:before="137" w:after="0"/>
        <w:ind w:left="1898" w:right="0" w:hanging="397"/>
        <w:jc w:val="left"/>
        <w:rPr>
          <w:sz w:val="24"/>
        </w:rPr>
      </w:pPr>
      <w:r>
        <w:rPr>
          <w:sz w:val="24"/>
        </w:rPr>
        <w:t>włączania,</w:t>
      </w:r>
    </w:p>
    <w:p>
      <w:pPr>
        <w:pStyle w:val="ListParagraph"/>
        <w:numPr>
          <w:ilvl w:val="3"/>
          <w:numId w:val="10"/>
        </w:numPr>
        <w:tabs>
          <w:tab w:pos="1897" w:val="left" w:leader="none"/>
          <w:tab w:pos="1898" w:val="left" w:leader="none"/>
        </w:tabs>
        <w:spacing w:line="240" w:lineRule="auto" w:before="137" w:after="0"/>
        <w:ind w:left="1898" w:right="0" w:hanging="397"/>
        <w:jc w:val="left"/>
        <w:rPr>
          <w:sz w:val="24"/>
        </w:rPr>
      </w:pPr>
      <w:r>
        <w:rPr>
          <w:sz w:val="24"/>
        </w:rPr>
        <w:t>wyłączania,</w:t>
      </w:r>
    </w:p>
    <w:p>
      <w:pPr>
        <w:pStyle w:val="ListParagraph"/>
        <w:numPr>
          <w:ilvl w:val="3"/>
          <w:numId w:val="10"/>
        </w:numPr>
        <w:tabs>
          <w:tab w:pos="1897" w:val="left" w:leader="none"/>
          <w:tab w:pos="1898" w:val="left" w:leader="none"/>
        </w:tabs>
        <w:spacing w:line="240" w:lineRule="auto" w:before="137" w:after="0"/>
        <w:ind w:left="1898" w:right="0" w:hanging="397"/>
        <w:jc w:val="left"/>
        <w:rPr>
          <w:sz w:val="24"/>
        </w:rPr>
      </w:pPr>
      <w:r>
        <w:rPr>
          <w:sz w:val="24"/>
        </w:rPr>
        <w:t>przeplatania,</w:t>
      </w:r>
    </w:p>
    <w:p>
      <w:pPr>
        <w:pStyle w:val="ListParagraph"/>
        <w:numPr>
          <w:ilvl w:val="3"/>
          <w:numId w:val="10"/>
        </w:numPr>
        <w:tabs>
          <w:tab w:pos="1897" w:val="left" w:leader="none"/>
          <w:tab w:pos="1898" w:val="left" w:leader="none"/>
        </w:tabs>
        <w:spacing w:line="240" w:lineRule="auto" w:before="137" w:after="0"/>
        <w:ind w:left="1898" w:right="0" w:hanging="397"/>
        <w:jc w:val="left"/>
        <w:rPr>
          <w:sz w:val="24"/>
        </w:rPr>
      </w:pPr>
      <w:r>
        <w:rPr>
          <w:sz w:val="24"/>
        </w:rPr>
        <w:t>dla autobusów i rowerów (odcinki początkowe i</w:t>
      </w:r>
      <w:r>
        <w:rPr>
          <w:spacing w:val="-11"/>
          <w:sz w:val="24"/>
        </w:rPr>
        <w:t> </w:t>
      </w:r>
      <w:r>
        <w:rPr>
          <w:sz w:val="24"/>
        </w:rPr>
        <w:t>końcowe),</w:t>
      </w:r>
    </w:p>
    <w:p>
      <w:pPr>
        <w:pStyle w:val="ListParagraph"/>
        <w:numPr>
          <w:ilvl w:val="3"/>
          <w:numId w:val="10"/>
        </w:numPr>
        <w:tabs>
          <w:tab w:pos="1897" w:val="left" w:leader="none"/>
          <w:tab w:pos="1898" w:val="left" w:leader="none"/>
        </w:tabs>
        <w:spacing w:line="240" w:lineRule="auto" w:before="137" w:after="0"/>
        <w:ind w:left="1898" w:right="0" w:hanging="397"/>
        <w:jc w:val="left"/>
        <w:rPr>
          <w:sz w:val="24"/>
        </w:rPr>
      </w:pPr>
      <w:r>
        <w:rPr>
          <w:sz w:val="24"/>
        </w:rPr>
        <w:t>wydzielonych dla pojazdów skręcających na wlotach</w:t>
      </w:r>
      <w:r>
        <w:rPr>
          <w:spacing w:val="-23"/>
          <w:sz w:val="24"/>
        </w:rPr>
        <w:t> </w:t>
      </w:r>
      <w:r>
        <w:rPr>
          <w:sz w:val="24"/>
        </w:rPr>
        <w:t>skrzyżowań,</w:t>
      </w:r>
    </w:p>
    <w:p>
      <w:pPr>
        <w:pStyle w:val="ListParagraph"/>
        <w:numPr>
          <w:ilvl w:val="3"/>
          <w:numId w:val="10"/>
        </w:numPr>
        <w:tabs>
          <w:tab w:pos="1897" w:val="left" w:leader="none"/>
          <w:tab w:pos="1898" w:val="left" w:leader="none"/>
        </w:tabs>
        <w:spacing w:line="240" w:lineRule="auto" w:before="137" w:after="0"/>
        <w:ind w:left="1898" w:right="0" w:hanging="397"/>
        <w:jc w:val="left"/>
        <w:rPr>
          <w:sz w:val="24"/>
        </w:rPr>
      </w:pPr>
      <w:r>
        <w:rPr>
          <w:sz w:val="24"/>
        </w:rPr>
        <w:t>zanikających,</w:t>
      </w:r>
    </w:p>
    <w:p>
      <w:pPr>
        <w:spacing w:after="0" w:line="240" w:lineRule="auto"/>
        <w:jc w:val="left"/>
        <w:rPr>
          <w:sz w:val="24"/>
        </w:rPr>
        <w:sectPr>
          <w:pgSz w:w="11910" w:h="16840"/>
          <w:pgMar w:header="719" w:footer="0" w:top="980" w:bottom="280" w:left="1300" w:right="1320"/>
        </w:sectPr>
      </w:pPr>
    </w:p>
    <w:p>
      <w:pPr>
        <w:pStyle w:val="BodyText"/>
        <w:rPr>
          <w:sz w:val="20"/>
        </w:rPr>
      </w:pPr>
    </w:p>
    <w:p>
      <w:pPr>
        <w:pStyle w:val="BodyText"/>
        <w:spacing w:before="2"/>
        <w:rPr>
          <w:sz w:val="22"/>
        </w:rPr>
      </w:pPr>
    </w:p>
    <w:p>
      <w:pPr>
        <w:pStyle w:val="ListParagraph"/>
        <w:numPr>
          <w:ilvl w:val="2"/>
          <w:numId w:val="10"/>
        </w:numPr>
        <w:tabs>
          <w:tab w:pos="1518" w:val="left" w:leader="none"/>
        </w:tabs>
        <w:spacing w:line="360" w:lineRule="auto" w:before="90" w:after="0"/>
        <w:ind w:left="1518" w:right="112" w:hanging="397"/>
        <w:jc w:val="both"/>
        <w:rPr>
          <w:sz w:val="24"/>
        </w:rPr>
      </w:pPr>
      <w:r>
        <w:rPr>
          <w:sz w:val="24"/>
        </w:rPr>
        <w:t>obustronnych pasów przeznaczonych do jednokierunkowego ruchu pieszych, rowerów, hulajnóg elektrycznych i urządzeń transportu osobistego, a także do ruchu pozostałych pojazdów w trakcie wymijania na drodze dwukierunkowej o jednym pasie</w:t>
      </w:r>
      <w:r>
        <w:rPr>
          <w:spacing w:val="-6"/>
          <w:sz w:val="24"/>
        </w:rPr>
        <w:t> </w:t>
      </w:r>
      <w:r>
        <w:rPr>
          <w:sz w:val="24"/>
        </w:rPr>
        <w:t>ruchu.”,</w:t>
      </w:r>
    </w:p>
    <w:p>
      <w:pPr>
        <w:pStyle w:val="ListParagraph"/>
        <w:numPr>
          <w:ilvl w:val="0"/>
          <w:numId w:val="11"/>
        </w:numPr>
        <w:tabs>
          <w:tab w:pos="1121" w:val="left" w:leader="none"/>
          <w:tab w:pos="1122" w:val="left" w:leader="none"/>
        </w:tabs>
        <w:spacing w:line="240" w:lineRule="auto" w:before="5" w:after="0"/>
        <w:ind w:left="1122" w:right="0" w:hanging="397"/>
        <w:jc w:val="left"/>
        <w:rPr>
          <w:sz w:val="24"/>
        </w:rPr>
      </w:pPr>
      <w:r>
        <w:rPr>
          <w:sz w:val="24"/>
        </w:rPr>
        <w:t>w pkt 2.2.1.5  dodaje się akapit drugi w</w:t>
      </w:r>
      <w:r>
        <w:rPr>
          <w:spacing w:val="-11"/>
          <w:sz w:val="24"/>
        </w:rPr>
        <w:t> </w:t>
      </w:r>
      <w:r>
        <w:rPr>
          <w:sz w:val="24"/>
        </w:rPr>
        <w:t>brzmieniu:</w:t>
      </w:r>
    </w:p>
    <w:p>
      <w:pPr>
        <w:pStyle w:val="BodyText"/>
        <w:tabs>
          <w:tab w:pos="1973" w:val="left" w:leader="none"/>
          <w:tab w:pos="2652" w:val="left" w:leader="none"/>
          <w:tab w:pos="3557" w:val="left" w:leader="none"/>
          <w:tab w:pos="4063" w:val="left" w:leader="none"/>
          <w:tab w:pos="5075" w:val="left" w:leader="none"/>
          <w:tab w:pos="5554" w:val="left" w:leader="none"/>
          <w:tab w:pos="6953" w:val="left" w:leader="none"/>
          <w:tab w:pos="8365" w:val="left" w:leader="none"/>
        </w:tabs>
        <w:spacing w:line="360" w:lineRule="auto" w:before="138"/>
        <w:ind w:left="1121" w:right="112"/>
      </w:pPr>
      <w:r>
        <w:rPr/>
        <w:t>„Linię</w:t>
        <w:tab/>
        <w:t>P-1e</w:t>
        <w:tab/>
        <w:t>stosuje</w:t>
        <w:tab/>
        <w:t>się</w:t>
        <w:tab/>
        <w:t>również</w:t>
        <w:tab/>
        <w:t>do</w:t>
        <w:tab/>
        <w:t>wydzielania</w:t>
        <w:tab/>
        <w:t>środkowego</w:t>
        <w:tab/>
        <w:t>pasa wielofunkcyjnego.”,</w:t>
      </w:r>
    </w:p>
    <w:p>
      <w:pPr>
        <w:pStyle w:val="BodyText"/>
        <w:tabs>
          <w:tab w:pos="1121" w:val="left" w:leader="none"/>
        </w:tabs>
        <w:spacing w:before="5"/>
        <w:ind w:left="725"/>
      </w:pPr>
      <w:r>
        <w:rPr/>
        <w:t>–</w:t>
        <w:tab/>
        <w:t>w pkt</w:t>
      </w:r>
      <w:r>
        <w:rPr>
          <w:spacing w:val="-2"/>
        </w:rPr>
        <w:t> </w:t>
      </w:r>
      <w:r>
        <w:rPr/>
        <w:t>2.2.1.8:</w:t>
      </w:r>
    </w:p>
    <w:p>
      <w:pPr>
        <w:pStyle w:val="ListParagraph"/>
        <w:numPr>
          <w:ilvl w:val="1"/>
          <w:numId w:val="11"/>
        </w:numPr>
        <w:tabs>
          <w:tab w:pos="1301" w:val="left" w:leader="none"/>
        </w:tabs>
        <w:spacing w:line="240" w:lineRule="auto" w:before="138" w:after="0"/>
        <w:ind w:left="1301" w:right="0" w:hanging="180"/>
        <w:jc w:val="left"/>
        <w:rPr>
          <w:sz w:val="24"/>
        </w:rPr>
      </w:pPr>
      <w:r>
        <w:rPr>
          <w:sz w:val="24"/>
        </w:rPr>
        <w:t>–  w akapicie pierwszym dodaje się zdanie czwarte w</w:t>
      </w:r>
      <w:r>
        <w:rPr>
          <w:spacing w:val="-41"/>
          <w:sz w:val="24"/>
        </w:rPr>
        <w:t> </w:t>
      </w:r>
      <w:r>
        <w:rPr>
          <w:sz w:val="24"/>
        </w:rPr>
        <w:t>brzmieniu:</w:t>
      </w:r>
    </w:p>
    <w:p>
      <w:pPr>
        <w:pStyle w:val="BodyText"/>
        <w:spacing w:line="360" w:lineRule="auto" w:before="138"/>
        <w:ind w:left="1518" w:right="113"/>
        <w:jc w:val="both"/>
      </w:pPr>
      <w:r>
        <w:rPr/>
        <w:t>„Dopuszcza się  stosowanie  linii  P-3a  do  oddzielania  pasów  włączania z</w:t>
      </w:r>
      <w:r>
        <w:rPr>
          <w:spacing w:val="-6"/>
        </w:rPr>
        <w:t> </w:t>
      </w:r>
      <w:r>
        <w:rPr/>
        <w:t>wielopasowych</w:t>
      </w:r>
      <w:r>
        <w:rPr>
          <w:spacing w:val="-16"/>
        </w:rPr>
        <w:t> </w:t>
      </w:r>
      <w:r>
        <w:rPr/>
        <w:t>łącznic</w:t>
      </w:r>
      <w:r>
        <w:rPr>
          <w:spacing w:val="-16"/>
        </w:rPr>
        <w:t> </w:t>
      </w:r>
      <w:r>
        <w:rPr/>
        <w:t>lub</w:t>
      </w:r>
      <w:r>
        <w:rPr>
          <w:spacing w:val="-17"/>
        </w:rPr>
        <w:t> </w:t>
      </w:r>
      <w:r>
        <w:rPr/>
        <w:t>jezdni</w:t>
      </w:r>
      <w:r>
        <w:rPr>
          <w:spacing w:val="-16"/>
        </w:rPr>
        <w:t> </w:t>
      </w:r>
      <w:r>
        <w:rPr/>
        <w:t>zbierająco-rozprowadzających</w:t>
      </w:r>
      <w:r>
        <w:rPr>
          <w:spacing w:val="-14"/>
        </w:rPr>
        <w:t> </w:t>
      </w:r>
      <w:r>
        <w:rPr/>
        <w:t>od</w:t>
      </w:r>
      <w:r>
        <w:rPr>
          <w:spacing w:val="-17"/>
        </w:rPr>
        <w:t> </w:t>
      </w:r>
      <w:r>
        <w:rPr/>
        <w:t>jezdni głównej.”,</w:t>
      </w:r>
    </w:p>
    <w:p>
      <w:pPr>
        <w:pStyle w:val="ListParagraph"/>
        <w:numPr>
          <w:ilvl w:val="1"/>
          <w:numId w:val="11"/>
        </w:numPr>
        <w:tabs>
          <w:tab w:pos="1301" w:val="left" w:leader="none"/>
        </w:tabs>
        <w:spacing w:line="240" w:lineRule="auto" w:before="5" w:after="0"/>
        <w:ind w:left="1301" w:right="0" w:hanging="180"/>
        <w:jc w:val="left"/>
        <w:rPr>
          <w:sz w:val="24"/>
        </w:rPr>
      </w:pPr>
      <w:r>
        <w:rPr>
          <w:sz w:val="24"/>
        </w:rPr>
        <w:t>–  akapit drugi otrzymuje</w:t>
      </w:r>
      <w:r>
        <w:rPr>
          <w:spacing w:val="-30"/>
          <w:sz w:val="24"/>
        </w:rPr>
        <w:t> </w:t>
      </w:r>
      <w:r>
        <w:rPr>
          <w:sz w:val="24"/>
        </w:rPr>
        <w:t>brzmienie:</w:t>
      </w:r>
    </w:p>
    <w:p>
      <w:pPr>
        <w:pStyle w:val="BodyText"/>
        <w:spacing w:line="360" w:lineRule="auto" w:before="138"/>
        <w:ind w:left="1518" w:right="106"/>
      </w:pPr>
      <w:r>
        <w:rPr/>
        <w:t>„Znak P-3a powinien być poprzedzony znakiem P-1b, P-2b, P-4, P-6 lub P- 6a, a następować po nim mogą znaki P-1a, P-1c, P-4, P-6 lub P-6a.”,</w:t>
      </w:r>
    </w:p>
    <w:p>
      <w:pPr>
        <w:pStyle w:val="BodyText"/>
        <w:tabs>
          <w:tab w:pos="1121" w:val="left" w:leader="none"/>
        </w:tabs>
        <w:spacing w:before="5"/>
        <w:ind w:left="725"/>
      </w:pPr>
      <w:r>
        <w:rPr/>
        <w:t>–</w:t>
        <w:tab/>
        <w:t>w pkt</w:t>
      </w:r>
      <w:r>
        <w:rPr>
          <w:spacing w:val="-2"/>
        </w:rPr>
        <w:t> </w:t>
      </w:r>
      <w:r>
        <w:rPr/>
        <w:t>2.2.2:</w:t>
      </w:r>
    </w:p>
    <w:p>
      <w:pPr>
        <w:pStyle w:val="ListParagraph"/>
        <w:numPr>
          <w:ilvl w:val="1"/>
          <w:numId w:val="11"/>
        </w:numPr>
        <w:tabs>
          <w:tab w:pos="1301" w:val="left" w:leader="none"/>
        </w:tabs>
        <w:spacing w:line="240" w:lineRule="auto" w:before="138" w:after="0"/>
        <w:ind w:left="1301" w:right="0" w:hanging="180"/>
        <w:jc w:val="left"/>
        <w:rPr>
          <w:sz w:val="24"/>
        </w:rPr>
      </w:pPr>
      <w:r>
        <w:rPr>
          <w:sz w:val="24"/>
        </w:rPr>
        <w:t>–  akapity piąty i szósty otrzymują</w:t>
      </w:r>
      <w:r>
        <w:rPr>
          <w:spacing w:val="-35"/>
          <w:sz w:val="24"/>
        </w:rPr>
        <w:t> </w:t>
      </w:r>
      <w:r>
        <w:rPr>
          <w:sz w:val="24"/>
        </w:rPr>
        <w:t>brzmienie:</w:t>
      </w:r>
    </w:p>
    <w:p>
      <w:pPr>
        <w:pStyle w:val="BodyText"/>
        <w:spacing w:before="138"/>
        <w:ind w:left="1518"/>
        <w:jc w:val="both"/>
      </w:pPr>
      <w:r>
        <w:rPr/>
        <w:t>„Linie P-7a i P-7b o szerokości 0,24 m stosuje się na:</w:t>
      </w:r>
    </w:p>
    <w:p>
      <w:pPr>
        <w:pStyle w:val="ListParagraph"/>
        <w:numPr>
          <w:ilvl w:val="2"/>
          <w:numId w:val="11"/>
        </w:numPr>
        <w:tabs>
          <w:tab w:pos="1915" w:val="left" w:leader="none"/>
        </w:tabs>
        <w:spacing w:line="240" w:lineRule="auto" w:before="138" w:after="0"/>
        <w:ind w:left="1915" w:right="0" w:hanging="397"/>
        <w:jc w:val="both"/>
        <w:rPr>
          <w:sz w:val="24"/>
        </w:rPr>
      </w:pPr>
      <w:r>
        <w:rPr>
          <w:sz w:val="24"/>
        </w:rPr>
        <w:t>autostradach i drogach</w:t>
      </w:r>
      <w:r>
        <w:rPr>
          <w:spacing w:val="-25"/>
          <w:sz w:val="24"/>
        </w:rPr>
        <w:t> </w:t>
      </w:r>
      <w:r>
        <w:rPr>
          <w:sz w:val="24"/>
        </w:rPr>
        <w:t>ekspresowych,</w:t>
      </w:r>
    </w:p>
    <w:p>
      <w:pPr>
        <w:pStyle w:val="ListParagraph"/>
        <w:numPr>
          <w:ilvl w:val="2"/>
          <w:numId w:val="11"/>
        </w:numPr>
        <w:tabs>
          <w:tab w:pos="1914" w:val="left" w:leader="none"/>
          <w:tab w:pos="1915" w:val="left" w:leader="none"/>
        </w:tabs>
        <w:spacing w:line="360" w:lineRule="auto" w:before="138" w:after="0"/>
        <w:ind w:left="1915" w:right="112" w:hanging="397"/>
        <w:jc w:val="left"/>
        <w:rPr>
          <w:sz w:val="24"/>
        </w:rPr>
      </w:pPr>
      <w:r>
        <w:rPr>
          <w:sz w:val="24"/>
        </w:rPr>
        <w:t>drogach</w:t>
      </w:r>
      <w:r>
        <w:rPr>
          <w:spacing w:val="-7"/>
          <w:sz w:val="24"/>
        </w:rPr>
        <w:t> </w:t>
      </w:r>
      <w:r>
        <w:rPr>
          <w:sz w:val="24"/>
        </w:rPr>
        <w:t>posiadających</w:t>
      </w:r>
      <w:r>
        <w:rPr>
          <w:spacing w:val="-6"/>
          <w:sz w:val="24"/>
        </w:rPr>
        <w:t> </w:t>
      </w:r>
      <w:r>
        <w:rPr>
          <w:sz w:val="24"/>
        </w:rPr>
        <w:t>część</w:t>
      </w:r>
      <w:r>
        <w:rPr>
          <w:spacing w:val="-7"/>
          <w:sz w:val="24"/>
        </w:rPr>
        <w:t> </w:t>
      </w:r>
      <w:r>
        <w:rPr>
          <w:sz w:val="24"/>
        </w:rPr>
        <w:t>pobocza</w:t>
      </w:r>
      <w:r>
        <w:rPr>
          <w:spacing w:val="-7"/>
          <w:sz w:val="24"/>
        </w:rPr>
        <w:t> </w:t>
      </w:r>
      <w:r>
        <w:rPr>
          <w:sz w:val="24"/>
        </w:rPr>
        <w:t>o</w:t>
      </w:r>
      <w:r>
        <w:rPr>
          <w:spacing w:val="-7"/>
          <w:sz w:val="24"/>
        </w:rPr>
        <w:t> </w:t>
      </w:r>
      <w:r>
        <w:rPr>
          <w:sz w:val="24"/>
        </w:rPr>
        <w:t>nawierzchni</w:t>
      </w:r>
      <w:r>
        <w:rPr>
          <w:spacing w:val="-7"/>
          <w:sz w:val="24"/>
        </w:rPr>
        <w:t> </w:t>
      </w:r>
      <w:r>
        <w:rPr>
          <w:sz w:val="24"/>
        </w:rPr>
        <w:t>twardej</w:t>
      </w:r>
      <w:r>
        <w:rPr>
          <w:spacing w:val="-6"/>
          <w:sz w:val="24"/>
        </w:rPr>
        <w:t> </w:t>
      </w:r>
      <w:r>
        <w:rPr>
          <w:sz w:val="24"/>
        </w:rPr>
        <w:t>lub</w:t>
      </w:r>
      <w:r>
        <w:rPr>
          <w:spacing w:val="-7"/>
          <w:sz w:val="24"/>
        </w:rPr>
        <w:t> </w:t>
      </w:r>
      <w:r>
        <w:rPr>
          <w:sz w:val="24"/>
        </w:rPr>
        <w:t>opaskę wewnętrzną,</w:t>
      </w:r>
    </w:p>
    <w:p>
      <w:pPr>
        <w:pStyle w:val="ListParagraph"/>
        <w:numPr>
          <w:ilvl w:val="2"/>
          <w:numId w:val="11"/>
        </w:numPr>
        <w:tabs>
          <w:tab w:pos="1915" w:val="left" w:leader="none"/>
        </w:tabs>
        <w:spacing w:line="240" w:lineRule="auto" w:before="5" w:after="0"/>
        <w:ind w:left="1915" w:right="0" w:hanging="397"/>
        <w:jc w:val="both"/>
        <w:rPr>
          <w:sz w:val="24"/>
        </w:rPr>
      </w:pPr>
      <w:r>
        <w:rPr>
          <w:sz w:val="24"/>
        </w:rPr>
        <w:t>drogach o dwóch jezdniach</w:t>
      </w:r>
      <w:r>
        <w:rPr>
          <w:spacing w:val="-10"/>
          <w:sz w:val="24"/>
        </w:rPr>
        <w:t> </w:t>
      </w:r>
      <w:r>
        <w:rPr>
          <w:sz w:val="24"/>
        </w:rPr>
        <w:t>głównych.</w:t>
      </w:r>
    </w:p>
    <w:p>
      <w:pPr>
        <w:pStyle w:val="BodyText"/>
        <w:spacing w:before="138"/>
        <w:ind w:left="1518"/>
        <w:jc w:val="both"/>
      </w:pPr>
      <w:r>
        <w:rPr/>
        <w:t>Sposób umieszczania linii krawędziowych pokazano na rys. 2.2.2.1.”,</w:t>
      </w:r>
    </w:p>
    <w:p>
      <w:pPr>
        <w:pStyle w:val="ListParagraph"/>
        <w:numPr>
          <w:ilvl w:val="0"/>
          <w:numId w:val="11"/>
        </w:numPr>
        <w:tabs>
          <w:tab w:pos="1121" w:val="left" w:leader="none"/>
          <w:tab w:pos="1122" w:val="left" w:leader="none"/>
        </w:tabs>
        <w:spacing w:line="240" w:lineRule="auto" w:before="138" w:after="0"/>
        <w:ind w:left="1122" w:right="0" w:hanging="397"/>
        <w:jc w:val="left"/>
        <w:rPr>
          <w:sz w:val="24"/>
        </w:rPr>
      </w:pPr>
      <w:r>
        <w:rPr>
          <w:sz w:val="24"/>
        </w:rPr>
        <w:t>w pkt 4.2.2 rysunek 4.2.2.3 otrzymuje</w:t>
      </w:r>
      <w:r>
        <w:rPr>
          <w:spacing w:val="-3"/>
          <w:sz w:val="24"/>
        </w:rPr>
        <w:t> </w:t>
      </w:r>
      <w:r>
        <w:rPr>
          <w:sz w:val="24"/>
        </w:rPr>
        <w:t>brzmienie:</w:t>
      </w:r>
    </w:p>
    <w:p>
      <w:pPr>
        <w:spacing w:after="0" w:line="240" w:lineRule="auto"/>
        <w:jc w:val="left"/>
        <w:rPr>
          <w:sz w:val="24"/>
        </w:rPr>
        <w:sectPr>
          <w:pgSz w:w="11910" w:h="16840"/>
          <w:pgMar w:header="719" w:footer="0" w:top="980" w:bottom="280" w:left="1680" w:right="1320"/>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1"/>
        </w:rPr>
      </w:pPr>
    </w:p>
    <w:p>
      <w:pPr>
        <w:pStyle w:val="BodyText"/>
        <w:spacing w:before="90"/>
        <w:ind w:left="1121"/>
        <w:jc w:val="both"/>
      </w:pPr>
      <w:r>
        <w:rPr/>
        <w:drawing>
          <wp:anchor distT="0" distB="0" distL="0" distR="0" allowOverlap="1" layoutInCell="1" locked="0" behindDoc="1" simplePos="0" relativeHeight="268415831">
            <wp:simplePos x="0" y="0"/>
            <wp:positionH relativeFrom="page">
              <wp:posOffset>1846275</wp:posOffset>
            </wp:positionH>
            <wp:positionV relativeFrom="paragraph">
              <wp:posOffset>-3001097</wp:posOffset>
            </wp:positionV>
            <wp:extent cx="3240000" cy="3198620"/>
            <wp:effectExtent l="0" t="0" r="0" b="0"/>
            <wp:wrapNone/>
            <wp:docPr id="59" name="image30.jpeg" descr=""/>
            <wp:cNvGraphicFramePr>
              <a:graphicFrameLocks noChangeAspect="1"/>
            </wp:cNvGraphicFramePr>
            <a:graphic>
              <a:graphicData uri="http://schemas.openxmlformats.org/drawingml/2006/picture">
                <pic:pic>
                  <pic:nvPicPr>
                    <pic:cNvPr id="60" name="image30.jpeg"/>
                    <pic:cNvPicPr/>
                  </pic:nvPicPr>
                  <pic:blipFill>
                    <a:blip r:embed="rId35" cstate="print"/>
                    <a:stretch>
                      <a:fillRect/>
                    </a:stretch>
                  </pic:blipFill>
                  <pic:spPr>
                    <a:xfrm>
                      <a:off x="0" y="0"/>
                      <a:ext cx="3240000" cy="3198620"/>
                    </a:xfrm>
                    <a:prstGeom prst="rect">
                      <a:avLst/>
                    </a:prstGeom>
                  </pic:spPr>
                </pic:pic>
              </a:graphicData>
            </a:graphic>
          </wp:anchor>
        </w:drawing>
      </w:r>
      <w:r>
        <w:rPr/>
        <w:t>„</w:t>
      </w:r>
    </w:p>
    <w:p>
      <w:pPr>
        <w:pStyle w:val="BodyText"/>
        <w:spacing w:before="138"/>
        <w:ind w:left="1121"/>
        <w:jc w:val="both"/>
      </w:pPr>
      <w:r>
        <w:rPr/>
        <w:t>Rys. 4.2.2.3. Schemat sposobu połączenia znaku P-10 ze znakiem P-11”,</w:t>
      </w:r>
    </w:p>
    <w:p>
      <w:pPr>
        <w:pStyle w:val="ListParagraph"/>
        <w:numPr>
          <w:ilvl w:val="0"/>
          <w:numId w:val="11"/>
        </w:numPr>
        <w:tabs>
          <w:tab w:pos="1121" w:val="left" w:leader="none"/>
          <w:tab w:pos="1122" w:val="left" w:leader="none"/>
        </w:tabs>
        <w:spacing w:line="240" w:lineRule="auto" w:before="138" w:after="0"/>
        <w:ind w:left="1122" w:right="0" w:hanging="397"/>
        <w:jc w:val="left"/>
        <w:rPr>
          <w:sz w:val="24"/>
        </w:rPr>
      </w:pPr>
      <w:r>
        <w:rPr>
          <w:sz w:val="24"/>
        </w:rPr>
        <w:t>w pkt 5.2.4 akapit pierwszy otrzymuje</w:t>
      </w:r>
      <w:r>
        <w:rPr>
          <w:spacing w:val="-9"/>
          <w:sz w:val="24"/>
        </w:rPr>
        <w:t> </w:t>
      </w:r>
      <w:r>
        <w:rPr>
          <w:sz w:val="24"/>
        </w:rPr>
        <w:t>brzmienie:</w:t>
      </w:r>
    </w:p>
    <w:p>
      <w:pPr>
        <w:pStyle w:val="BodyText"/>
        <w:spacing w:line="360" w:lineRule="auto" w:before="138"/>
        <w:ind w:left="1121" w:right="111"/>
        <w:jc w:val="both"/>
      </w:pPr>
      <w:r>
        <w:rPr/>
        <w:t>„Znak P-18 „stanowisko postojowe” (rys. 5.2.4.1) stosuje się w celu wyznaczenia stanowisk postojowych, jeżeli nie są one wyznaczone konstrukcyjnie.</w:t>
      </w:r>
      <w:r>
        <w:rPr>
          <w:spacing w:val="-16"/>
        </w:rPr>
        <w:t> </w:t>
      </w:r>
      <w:r>
        <w:rPr/>
        <w:t>W</w:t>
      </w:r>
      <w:r>
        <w:rPr>
          <w:spacing w:val="-16"/>
        </w:rPr>
        <w:t> </w:t>
      </w:r>
      <w:r>
        <w:rPr/>
        <w:t>przypadku</w:t>
      </w:r>
      <w:r>
        <w:rPr>
          <w:spacing w:val="-16"/>
        </w:rPr>
        <w:t> </w:t>
      </w:r>
      <w:r>
        <w:rPr/>
        <w:t>miejsc</w:t>
      </w:r>
      <w:r>
        <w:rPr>
          <w:spacing w:val="-15"/>
        </w:rPr>
        <w:t> </w:t>
      </w:r>
      <w:r>
        <w:rPr/>
        <w:t>postojowych</w:t>
      </w:r>
      <w:r>
        <w:rPr>
          <w:spacing w:val="-16"/>
        </w:rPr>
        <w:t> </w:t>
      </w:r>
      <w:r>
        <w:rPr/>
        <w:t>przeznaczonych</w:t>
      </w:r>
      <w:r>
        <w:rPr>
          <w:spacing w:val="-16"/>
        </w:rPr>
        <w:t> </w:t>
      </w:r>
      <w:r>
        <w:rPr/>
        <w:t>dla</w:t>
      </w:r>
      <w:r>
        <w:rPr>
          <w:spacing w:val="-16"/>
        </w:rPr>
        <w:t> </w:t>
      </w:r>
      <w:r>
        <w:rPr/>
        <w:t>pojazdów elektrycznych lub hybrydowych (EV), pojazdów napędzanych sprężonym gazem ziemnym (CNG), skroplonym gazem ziemnym (LNG) lub wodorem (H2),</w:t>
      </w:r>
      <w:r>
        <w:rPr>
          <w:spacing w:val="-8"/>
        </w:rPr>
        <w:t> </w:t>
      </w:r>
      <w:r>
        <w:rPr/>
        <w:t>wewnątrz</w:t>
      </w:r>
      <w:r>
        <w:rPr>
          <w:spacing w:val="-8"/>
        </w:rPr>
        <w:t> </w:t>
      </w:r>
      <w:r>
        <w:rPr/>
        <w:t>znaku</w:t>
      </w:r>
      <w:r>
        <w:rPr>
          <w:spacing w:val="-8"/>
        </w:rPr>
        <w:t> </w:t>
      </w:r>
      <w:r>
        <w:rPr/>
        <w:t>P-18</w:t>
      </w:r>
      <w:r>
        <w:rPr>
          <w:spacing w:val="-8"/>
        </w:rPr>
        <w:t> </w:t>
      </w:r>
      <w:r>
        <w:rPr/>
        <w:t>umieszcza</w:t>
      </w:r>
      <w:r>
        <w:rPr>
          <w:spacing w:val="-8"/>
        </w:rPr>
        <w:t> </w:t>
      </w:r>
      <w:r>
        <w:rPr/>
        <w:t>się</w:t>
      </w:r>
      <w:r>
        <w:rPr>
          <w:spacing w:val="-8"/>
        </w:rPr>
        <w:t> </w:t>
      </w:r>
      <w:r>
        <w:rPr/>
        <w:t>napis</w:t>
      </w:r>
      <w:r>
        <w:rPr>
          <w:spacing w:val="-8"/>
        </w:rPr>
        <w:t> </w:t>
      </w:r>
      <w:r>
        <w:rPr/>
        <w:t>określający</w:t>
      </w:r>
      <w:r>
        <w:rPr>
          <w:spacing w:val="-8"/>
        </w:rPr>
        <w:t> </w:t>
      </w:r>
      <w:r>
        <w:rPr/>
        <w:t>odpowiednio</w:t>
      </w:r>
      <w:r>
        <w:rPr>
          <w:spacing w:val="-8"/>
        </w:rPr>
        <w:t> </w:t>
      </w:r>
      <w:r>
        <w:rPr/>
        <w:t>rodzaj pojazdu: „EV”, „CNG”, „LNG” lub „H2”, zgodnie z konstrukcją liter dla odmiany krótkiej, określoną w pkt 9.1. Stanowiska postojowe dla pojazdów elektrycznych lub hybrydowych (EV) oraz napędzanych wodorem (H2) mogą mieć nawierzchnię barwy zielonej. Na obszarach, gdzie wyznacza się miejsca postojowe, należy przewidzieć stanowiska przeznaczone dla pojazdów osób niepełnosprawnych. Stanowiska postojowe dla pojazdów osób niepełnosprawnych powinny mieć nawierzchnię barwy</w:t>
      </w:r>
      <w:r>
        <w:rPr>
          <w:spacing w:val="-6"/>
        </w:rPr>
        <w:t> </w:t>
      </w:r>
      <w:r>
        <w:rPr/>
        <w:t>niebieskiej.”</w:t>
      </w:r>
    </w:p>
    <w:p>
      <w:pPr>
        <w:pStyle w:val="ListParagraph"/>
        <w:numPr>
          <w:ilvl w:val="0"/>
          <w:numId w:val="11"/>
        </w:numPr>
        <w:tabs>
          <w:tab w:pos="1121" w:val="left" w:leader="none"/>
          <w:tab w:pos="1122" w:val="left" w:leader="none"/>
        </w:tabs>
        <w:spacing w:line="240" w:lineRule="auto" w:before="5" w:after="0"/>
        <w:ind w:left="1122" w:right="0" w:hanging="397"/>
        <w:jc w:val="left"/>
        <w:rPr>
          <w:sz w:val="24"/>
        </w:rPr>
      </w:pPr>
      <w:r>
        <w:rPr>
          <w:sz w:val="24"/>
        </w:rPr>
        <w:t>w pkt 5.2.9.3 akapit drugi otrzymuje</w:t>
      </w:r>
      <w:r>
        <w:rPr>
          <w:spacing w:val="-11"/>
          <w:sz w:val="24"/>
        </w:rPr>
        <w:t> </w:t>
      </w:r>
      <w:r>
        <w:rPr>
          <w:sz w:val="24"/>
        </w:rPr>
        <w:t>brzmienie:</w:t>
      </w:r>
    </w:p>
    <w:p>
      <w:pPr>
        <w:pStyle w:val="BodyText"/>
        <w:spacing w:line="360" w:lineRule="auto" w:before="137"/>
        <w:ind w:left="1121" w:right="112"/>
        <w:jc w:val="both"/>
      </w:pPr>
      <w:r>
        <w:rPr/>
        <w:t>„Na drodze  dla  pieszych  i  rowerów,  na  której  umieszczono  znak  C-13/16 z kreską poziomą, znaki P-23 i P-26 umieszcza się w osi drogi, w sposób analogiczny jak na znaku pionowym (znaków poziomych nie rozdziela się kreską poziomą). Znaki te umieszcza się na początku drogi, oraz </w:t>
      </w:r>
      <w:r>
        <w:rPr>
          <w:spacing w:val="56"/>
        </w:rPr>
        <w:t> </w:t>
      </w:r>
      <w:r>
        <w:rPr/>
        <w:t>bezpośrednio</w:t>
      </w:r>
    </w:p>
    <w:p>
      <w:pPr>
        <w:spacing w:after="0" w:line="360" w:lineRule="auto"/>
        <w:jc w:val="both"/>
        <w:sectPr>
          <w:pgSz w:w="11910" w:h="16840"/>
          <w:pgMar w:header="719" w:footer="0" w:top="980" w:bottom="280" w:left="1680" w:right="1320"/>
        </w:sectPr>
      </w:pPr>
    </w:p>
    <w:p>
      <w:pPr>
        <w:pStyle w:val="BodyText"/>
        <w:rPr>
          <w:sz w:val="20"/>
        </w:rPr>
      </w:pPr>
    </w:p>
    <w:p>
      <w:pPr>
        <w:pStyle w:val="BodyText"/>
        <w:spacing w:before="2"/>
        <w:rPr>
          <w:sz w:val="22"/>
        </w:rPr>
      </w:pPr>
    </w:p>
    <w:p>
      <w:pPr>
        <w:pStyle w:val="BodyText"/>
        <w:spacing w:line="360" w:lineRule="auto" w:before="90"/>
        <w:ind w:left="1501" w:right="112"/>
        <w:jc w:val="both"/>
      </w:pPr>
      <w:r>
        <w:rPr/>
        <w:t>za każdym połączeniem dróg. Dopuszcza się powtarzanie znaków P-26 i P-23 na całej długości drogi albo pasa, nie rzadziej niż co 50 m.”;</w:t>
      </w:r>
    </w:p>
    <w:p>
      <w:pPr>
        <w:pStyle w:val="ListParagraph"/>
        <w:numPr>
          <w:ilvl w:val="0"/>
          <w:numId w:val="10"/>
        </w:numPr>
        <w:tabs>
          <w:tab w:pos="627" w:val="left" w:leader="none"/>
          <w:tab w:pos="628" w:val="left" w:leader="none"/>
        </w:tabs>
        <w:spacing w:line="240" w:lineRule="auto" w:before="5" w:after="0"/>
        <w:ind w:left="628" w:right="0" w:hanging="510"/>
        <w:jc w:val="left"/>
        <w:rPr>
          <w:sz w:val="24"/>
        </w:rPr>
      </w:pPr>
      <w:r>
        <w:rPr>
          <w:sz w:val="24"/>
        </w:rPr>
        <w:t>w załączniku nr</w:t>
      </w:r>
      <w:r>
        <w:rPr>
          <w:spacing w:val="-3"/>
          <w:sz w:val="24"/>
        </w:rPr>
        <w:t> </w:t>
      </w:r>
      <w:r>
        <w:rPr>
          <w:sz w:val="24"/>
        </w:rPr>
        <w:t>4:</w:t>
      </w:r>
    </w:p>
    <w:p>
      <w:pPr>
        <w:pStyle w:val="ListParagraph"/>
        <w:numPr>
          <w:ilvl w:val="1"/>
          <w:numId w:val="10"/>
        </w:numPr>
        <w:tabs>
          <w:tab w:pos="1103" w:val="left" w:leader="none"/>
          <w:tab w:pos="1104" w:val="left" w:leader="none"/>
        </w:tabs>
        <w:spacing w:line="240" w:lineRule="auto" w:before="138" w:after="0"/>
        <w:ind w:left="1104" w:right="0" w:hanging="476"/>
        <w:jc w:val="left"/>
        <w:rPr>
          <w:sz w:val="24"/>
        </w:rPr>
      </w:pPr>
      <w:r>
        <w:rPr>
          <w:sz w:val="24"/>
        </w:rPr>
        <w:t>w części 1 „Zasady</w:t>
      </w:r>
      <w:r>
        <w:rPr>
          <w:spacing w:val="-9"/>
          <w:sz w:val="24"/>
        </w:rPr>
        <w:t> </w:t>
      </w:r>
      <w:r>
        <w:rPr>
          <w:sz w:val="24"/>
        </w:rPr>
        <w:t>ogólne”:</w:t>
      </w:r>
    </w:p>
    <w:p>
      <w:pPr>
        <w:pStyle w:val="ListParagraph"/>
        <w:numPr>
          <w:ilvl w:val="2"/>
          <w:numId w:val="10"/>
        </w:numPr>
        <w:tabs>
          <w:tab w:pos="1502" w:val="left" w:leader="none"/>
        </w:tabs>
        <w:spacing w:line="240" w:lineRule="auto" w:before="138" w:after="0"/>
        <w:ind w:left="1502" w:right="0" w:hanging="397"/>
        <w:jc w:val="both"/>
        <w:rPr>
          <w:sz w:val="24"/>
        </w:rPr>
      </w:pPr>
      <w:r>
        <w:rPr>
          <w:sz w:val="24"/>
        </w:rPr>
        <w:t>akapit drugi otrzymuje</w:t>
      </w:r>
      <w:r>
        <w:rPr>
          <w:spacing w:val="-7"/>
          <w:sz w:val="24"/>
        </w:rPr>
        <w:t> </w:t>
      </w:r>
      <w:r>
        <w:rPr>
          <w:sz w:val="24"/>
        </w:rPr>
        <w:t>brzmienie:</w:t>
      </w:r>
    </w:p>
    <w:p>
      <w:pPr>
        <w:pStyle w:val="BodyText"/>
        <w:spacing w:line="360" w:lineRule="auto" w:before="138"/>
        <w:ind w:left="1501" w:right="112"/>
        <w:jc w:val="both"/>
      </w:pPr>
      <w:r>
        <w:rPr/>
        <w:t>„Na drodze umieszcza się urządzenia bezpieczeństwa ruchu drogowego wprowadzone do obrotu na zasadach określonych w odrębnych przepisach dotyczących wyrobów budowlanych, z wyłączeniem urządzeń, do których przepisy te nie mają zastosowania.”,</w:t>
      </w:r>
    </w:p>
    <w:p>
      <w:pPr>
        <w:pStyle w:val="ListParagraph"/>
        <w:numPr>
          <w:ilvl w:val="2"/>
          <w:numId w:val="10"/>
        </w:numPr>
        <w:tabs>
          <w:tab w:pos="1502" w:val="left" w:leader="none"/>
        </w:tabs>
        <w:spacing w:line="240" w:lineRule="auto" w:before="5" w:after="0"/>
        <w:ind w:left="1502" w:right="0" w:hanging="397"/>
        <w:jc w:val="both"/>
        <w:rPr>
          <w:sz w:val="24"/>
        </w:rPr>
      </w:pPr>
      <w:r>
        <w:rPr>
          <w:sz w:val="24"/>
        </w:rPr>
        <w:t>w akapicie szesnastym po tiret szóstym dodaje się tiret  w</w:t>
      </w:r>
      <w:r>
        <w:rPr>
          <w:spacing w:val="-34"/>
          <w:sz w:val="24"/>
        </w:rPr>
        <w:t> </w:t>
      </w:r>
      <w:r>
        <w:rPr>
          <w:sz w:val="24"/>
        </w:rPr>
        <w:t>brzmieniu:</w:t>
      </w:r>
    </w:p>
    <w:p>
      <w:pPr>
        <w:pStyle w:val="BodyText"/>
        <w:spacing w:before="138"/>
        <w:ind w:left="1501"/>
        <w:jc w:val="both"/>
      </w:pPr>
      <w:r>
        <w:rPr/>
        <w:t>„–   tymczasowe bariery ochronne o niskim poziomie powstrzymywania,”,</w:t>
      </w:r>
    </w:p>
    <w:p>
      <w:pPr>
        <w:pStyle w:val="ListParagraph"/>
        <w:numPr>
          <w:ilvl w:val="1"/>
          <w:numId w:val="10"/>
        </w:numPr>
        <w:tabs>
          <w:tab w:pos="1103" w:val="left" w:leader="none"/>
          <w:tab w:pos="1104" w:val="left" w:leader="none"/>
        </w:tabs>
        <w:spacing w:line="360" w:lineRule="auto" w:before="138" w:after="0"/>
        <w:ind w:left="1104" w:right="112" w:hanging="476"/>
        <w:jc w:val="left"/>
        <w:rPr>
          <w:sz w:val="24"/>
        </w:rPr>
      </w:pPr>
      <w:r>
        <w:rPr>
          <w:sz w:val="24"/>
        </w:rPr>
        <w:t>w części 5 „Urządzenia zabezpieczające ruch pieszych i rowerzystów” w pkt 5.2 akapit pierwszy otrzymuje</w:t>
      </w:r>
      <w:r>
        <w:rPr>
          <w:spacing w:val="-5"/>
          <w:sz w:val="24"/>
        </w:rPr>
        <w:t> </w:t>
      </w:r>
      <w:r>
        <w:rPr>
          <w:sz w:val="24"/>
        </w:rPr>
        <w:t>brzmienie:</w:t>
      </w:r>
    </w:p>
    <w:p>
      <w:pPr>
        <w:pStyle w:val="BodyText"/>
        <w:spacing w:line="360" w:lineRule="auto" w:before="5"/>
        <w:ind w:left="1104" w:right="112"/>
        <w:jc w:val="both"/>
      </w:pPr>
      <w:r>
        <w:rPr/>
        <w:t>„Balustrady U-11a według wzoru i wymiarów pokazanych na rysunku 5.2.1 stosuje się w celu zabezpieczenia pieszych, osób poruszających się przy użyciu urządzenia wspomagającego ruch, kierujących rowerem, hulajnogą elektryczną lub urządzeniem transportu osobistego przed upadkiem z wysokości, który może skutkować utratą życia lub trwałym uszkodzeniem ciała.”,</w:t>
      </w:r>
    </w:p>
    <w:p>
      <w:pPr>
        <w:pStyle w:val="ListParagraph"/>
        <w:numPr>
          <w:ilvl w:val="1"/>
          <w:numId w:val="10"/>
        </w:numPr>
        <w:tabs>
          <w:tab w:pos="1103" w:val="left" w:leader="none"/>
          <w:tab w:pos="1104" w:val="left" w:leader="none"/>
        </w:tabs>
        <w:spacing w:line="240" w:lineRule="auto" w:before="5" w:after="0"/>
        <w:ind w:left="1104" w:right="0" w:hanging="476"/>
        <w:jc w:val="left"/>
        <w:rPr>
          <w:sz w:val="24"/>
        </w:rPr>
      </w:pPr>
      <w:r>
        <w:rPr>
          <w:sz w:val="24"/>
        </w:rPr>
        <w:t>w części 7 „Czynne urządzenia bezpieczeństwa ruchu drogowego” w pkt</w:t>
      </w:r>
      <w:r>
        <w:rPr>
          <w:spacing w:val="-16"/>
          <w:sz w:val="24"/>
        </w:rPr>
        <w:t> </w:t>
      </w:r>
      <w:r>
        <w:rPr>
          <w:sz w:val="24"/>
        </w:rPr>
        <w:t>7.1:</w:t>
      </w:r>
    </w:p>
    <w:p>
      <w:pPr>
        <w:pStyle w:val="ListParagraph"/>
        <w:numPr>
          <w:ilvl w:val="2"/>
          <w:numId w:val="10"/>
        </w:numPr>
        <w:tabs>
          <w:tab w:pos="1502" w:val="left" w:leader="none"/>
        </w:tabs>
        <w:spacing w:line="240" w:lineRule="auto" w:before="138" w:after="0"/>
        <w:ind w:left="1502" w:right="0" w:hanging="397"/>
        <w:jc w:val="both"/>
        <w:rPr>
          <w:sz w:val="24"/>
        </w:rPr>
      </w:pPr>
      <w:r>
        <w:rPr>
          <w:sz w:val="24"/>
        </w:rPr>
        <w:t>w akapicie</w:t>
      </w:r>
      <w:r>
        <w:rPr>
          <w:spacing w:val="-8"/>
          <w:sz w:val="24"/>
        </w:rPr>
        <w:t> </w:t>
      </w:r>
      <w:r>
        <w:rPr>
          <w:sz w:val="24"/>
        </w:rPr>
        <w:t>pierwszym:</w:t>
      </w:r>
    </w:p>
    <w:p>
      <w:pPr>
        <w:pStyle w:val="ListParagraph"/>
        <w:numPr>
          <w:ilvl w:val="3"/>
          <w:numId w:val="10"/>
        </w:numPr>
        <w:tabs>
          <w:tab w:pos="1681" w:val="left" w:leader="none"/>
        </w:tabs>
        <w:spacing w:line="240" w:lineRule="auto" w:before="138" w:after="0"/>
        <w:ind w:left="1681" w:right="0" w:hanging="180"/>
        <w:jc w:val="both"/>
        <w:rPr>
          <w:sz w:val="24"/>
        </w:rPr>
      </w:pPr>
      <w:r>
        <w:rPr>
          <w:sz w:val="24"/>
        </w:rPr>
        <w:t>–  dodaje się zdanie drugie w</w:t>
      </w:r>
      <w:r>
        <w:rPr>
          <w:spacing w:val="-30"/>
          <w:sz w:val="24"/>
        </w:rPr>
        <w:t> </w:t>
      </w:r>
      <w:r>
        <w:rPr>
          <w:sz w:val="24"/>
        </w:rPr>
        <w:t>brzmieniu:</w:t>
      </w:r>
    </w:p>
    <w:p>
      <w:pPr>
        <w:pStyle w:val="BodyText"/>
        <w:spacing w:line="360" w:lineRule="auto" w:before="138"/>
        <w:ind w:left="1898" w:right="113"/>
        <w:jc w:val="both"/>
      </w:pPr>
      <w:r>
        <w:rPr/>
        <w:t>„Tymczasowe bariery ochronne o niskich poziomach powstrzymywania stosuje się w celu rozdzielenia pasów o przeciwnych kierunkach ruchu na jezdni z co najmniej trzema pasami ruchu w czasie prowadzenia robót w pasie drogowym. Wówczas dopuszcza się odkształcenie bariery ochronnej poza pas separujący.”,</w:t>
      </w:r>
    </w:p>
    <w:p>
      <w:pPr>
        <w:pStyle w:val="ListParagraph"/>
        <w:numPr>
          <w:ilvl w:val="2"/>
          <w:numId w:val="10"/>
        </w:numPr>
        <w:tabs>
          <w:tab w:pos="1502" w:val="left" w:leader="none"/>
        </w:tabs>
        <w:spacing w:line="240" w:lineRule="auto" w:before="5" w:after="0"/>
        <w:ind w:left="1502" w:right="0" w:hanging="397"/>
        <w:jc w:val="both"/>
        <w:rPr>
          <w:sz w:val="24"/>
        </w:rPr>
      </w:pPr>
      <w:r>
        <w:rPr>
          <w:sz w:val="24"/>
        </w:rPr>
        <w:t>w akapicie trzecim tiret drugie otrzymuje</w:t>
      </w:r>
      <w:r>
        <w:rPr>
          <w:spacing w:val="-16"/>
          <w:sz w:val="24"/>
        </w:rPr>
        <w:t> </w:t>
      </w:r>
      <w:r>
        <w:rPr>
          <w:sz w:val="24"/>
        </w:rPr>
        <w:t>brzmienie:</w:t>
      </w:r>
    </w:p>
    <w:p>
      <w:pPr>
        <w:pStyle w:val="BodyText"/>
        <w:spacing w:before="137"/>
        <w:ind w:left="1501"/>
        <w:jc w:val="both"/>
      </w:pPr>
      <w:r>
        <w:rPr/>
        <w:t>„– dzielące – umieszczane na pasie dzielącym lub pasie separującym,”,</w:t>
      </w:r>
    </w:p>
    <w:p>
      <w:pPr>
        <w:pStyle w:val="ListParagraph"/>
        <w:numPr>
          <w:ilvl w:val="2"/>
          <w:numId w:val="10"/>
        </w:numPr>
        <w:tabs>
          <w:tab w:pos="1502" w:val="left" w:leader="none"/>
        </w:tabs>
        <w:spacing w:line="240" w:lineRule="auto" w:before="137" w:after="0"/>
        <w:ind w:left="1502" w:right="0" w:hanging="397"/>
        <w:jc w:val="both"/>
        <w:rPr>
          <w:sz w:val="24"/>
        </w:rPr>
      </w:pPr>
      <w:r>
        <w:rPr>
          <w:sz w:val="24"/>
        </w:rPr>
        <w:t>akapit dziewiąty otrzymuje</w:t>
      </w:r>
      <w:r>
        <w:rPr>
          <w:spacing w:val="-6"/>
          <w:sz w:val="24"/>
        </w:rPr>
        <w:t> </w:t>
      </w:r>
      <w:r>
        <w:rPr>
          <w:sz w:val="24"/>
        </w:rPr>
        <w:t>brzmienie:</w:t>
      </w:r>
    </w:p>
    <w:p>
      <w:pPr>
        <w:pStyle w:val="BodyText"/>
        <w:spacing w:line="360" w:lineRule="auto" w:before="137"/>
        <w:ind w:left="1501" w:right="113"/>
        <w:jc w:val="both"/>
      </w:pPr>
      <w:r>
        <w:rPr/>
        <w:t>„Bariera ochronna powinna posiadać zakończenia w postaci odcinków początkowego i końcowego, nachylonych w kierunku nawierzchni drogi, zagłębionych i zakotwionych poniżej poziomu nawierzchni, lub w postaci terminali  spełniających  wymagania  normy  przenoszącej  normę  EN     1317.</w:t>
      </w:r>
    </w:p>
    <w:p>
      <w:pPr>
        <w:spacing w:after="0" w:line="360" w:lineRule="auto"/>
        <w:jc w:val="both"/>
        <w:sectPr>
          <w:pgSz w:w="11910" w:h="16840"/>
          <w:pgMar w:header="719" w:footer="0" w:top="980" w:bottom="280" w:left="1300" w:right="1320"/>
        </w:sectPr>
      </w:pPr>
    </w:p>
    <w:p>
      <w:pPr>
        <w:pStyle w:val="BodyText"/>
        <w:rPr>
          <w:sz w:val="20"/>
        </w:rPr>
      </w:pPr>
    </w:p>
    <w:p>
      <w:pPr>
        <w:pStyle w:val="BodyText"/>
        <w:spacing w:before="2"/>
        <w:rPr>
          <w:sz w:val="22"/>
        </w:rPr>
      </w:pPr>
    </w:p>
    <w:p>
      <w:pPr>
        <w:pStyle w:val="BodyText"/>
        <w:spacing w:line="360" w:lineRule="auto" w:before="90"/>
        <w:ind w:left="1501" w:right="113"/>
        <w:jc w:val="both"/>
      </w:pPr>
      <w:r>
        <w:rPr/>
        <w:t>W przypadku tymczasowych barier ochronnych o niskich poziomach powstrzymywania dopuszcza się niezagłębianie i niekotwienie odcinków początkowych i końcowych. Zaleca się wyposażenie tymczasowych barier ochronnych w elementy odblaskowe barwy żółtej.”,</w:t>
      </w:r>
    </w:p>
    <w:p>
      <w:pPr>
        <w:pStyle w:val="ListParagraph"/>
        <w:numPr>
          <w:ilvl w:val="1"/>
          <w:numId w:val="10"/>
        </w:numPr>
        <w:tabs>
          <w:tab w:pos="1103" w:val="left" w:leader="none"/>
          <w:tab w:pos="1104" w:val="left" w:leader="none"/>
        </w:tabs>
        <w:spacing w:line="240" w:lineRule="auto" w:before="5" w:after="0"/>
        <w:ind w:left="1104" w:right="0" w:hanging="476"/>
        <w:jc w:val="left"/>
        <w:rPr>
          <w:sz w:val="24"/>
        </w:rPr>
      </w:pPr>
      <w:r>
        <w:rPr>
          <w:sz w:val="24"/>
        </w:rPr>
        <w:t>w</w:t>
      </w:r>
      <w:r>
        <w:rPr>
          <w:spacing w:val="46"/>
          <w:sz w:val="24"/>
        </w:rPr>
        <w:t> </w:t>
      </w:r>
      <w:r>
        <w:rPr>
          <w:sz w:val="24"/>
        </w:rPr>
        <w:t>części</w:t>
      </w:r>
      <w:r>
        <w:rPr>
          <w:spacing w:val="47"/>
          <w:sz w:val="24"/>
        </w:rPr>
        <w:t> </w:t>
      </w:r>
      <w:r>
        <w:rPr>
          <w:sz w:val="24"/>
        </w:rPr>
        <w:t>8</w:t>
      </w:r>
      <w:r>
        <w:rPr>
          <w:spacing w:val="46"/>
          <w:sz w:val="24"/>
        </w:rPr>
        <w:t> </w:t>
      </w:r>
      <w:r>
        <w:rPr>
          <w:sz w:val="24"/>
        </w:rPr>
        <w:t>„Urządzenia</w:t>
      </w:r>
      <w:r>
        <w:rPr>
          <w:spacing w:val="48"/>
          <w:sz w:val="24"/>
        </w:rPr>
        <w:t> </w:t>
      </w:r>
      <w:r>
        <w:rPr>
          <w:sz w:val="24"/>
        </w:rPr>
        <w:t>do</w:t>
      </w:r>
      <w:r>
        <w:rPr>
          <w:spacing w:val="46"/>
          <w:sz w:val="24"/>
        </w:rPr>
        <w:t> </w:t>
      </w:r>
      <w:r>
        <w:rPr>
          <w:sz w:val="24"/>
        </w:rPr>
        <w:t>ograniczania</w:t>
      </w:r>
      <w:r>
        <w:rPr>
          <w:spacing w:val="46"/>
          <w:sz w:val="24"/>
        </w:rPr>
        <w:t> </w:t>
      </w:r>
      <w:r>
        <w:rPr>
          <w:sz w:val="24"/>
        </w:rPr>
        <w:t>prędkości</w:t>
      </w:r>
      <w:r>
        <w:rPr>
          <w:spacing w:val="47"/>
          <w:sz w:val="24"/>
        </w:rPr>
        <w:t> </w:t>
      </w:r>
      <w:r>
        <w:rPr>
          <w:sz w:val="24"/>
        </w:rPr>
        <w:t>pojazdów”</w:t>
      </w:r>
      <w:r>
        <w:rPr>
          <w:spacing w:val="46"/>
          <w:sz w:val="24"/>
        </w:rPr>
        <w:t> </w:t>
      </w:r>
      <w:r>
        <w:rPr>
          <w:sz w:val="24"/>
        </w:rPr>
        <w:t>w</w:t>
      </w:r>
      <w:r>
        <w:rPr>
          <w:spacing w:val="46"/>
          <w:sz w:val="24"/>
        </w:rPr>
        <w:t> </w:t>
      </w:r>
      <w:r>
        <w:rPr>
          <w:sz w:val="24"/>
        </w:rPr>
        <w:t>pkt</w:t>
      </w:r>
      <w:r>
        <w:rPr>
          <w:spacing w:val="46"/>
          <w:sz w:val="24"/>
        </w:rPr>
        <w:t> </w:t>
      </w:r>
      <w:r>
        <w:rPr>
          <w:sz w:val="24"/>
        </w:rPr>
        <w:t>8.1</w:t>
      </w:r>
      <w:r>
        <w:rPr>
          <w:spacing w:val="46"/>
          <w:sz w:val="24"/>
        </w:rPr>
        <w:t> </w:t>
      </w:r>
      <w:r>
        <w:rPr>
          <w:sz w:val="24"/>
        </w:rPr>
        <w:t>akapit</w:t>
      </w:r>
    </w:p>
    <w:p>
      <w:pPr>
        <w:pStyle w:val="BodyText"/>
        <w:spacing w:before="138"/>
        <w:ind w:left="1103"/>
        <w:jc w:val="both"/>
      </w:pPr>
      <w:r>
        <w:rPr/>
        <w:t>piętnasty otrzymuje brzmienie:</w:t>
      </w:r>
    </w:p>
    <w:p>
      <w:pPr>
        <w:pStyle w:val="BodyText"/>
        <w:spacing w:line="360" w:lineRule="auto" w:before="138"/>
        <w:ind w:left="1105" w:right="112"/>
        <w:jc w:val="both"/>
      </w:pPr>
      <w:r>
        <w:rPr/>
        <w:t>„Progi zwalniające powinien poprzedzać znak A-11a. W strefie ograniczonej prędkości do 10, 20 lub 30 km/h (znak B-43) oraz w strefie zamieszkania (znak D-40) dopuszcza się niestosowanie znaku A-11a.”.</w:t>
      </w:r>
    </w:p>
    <w:p>
      <w:pPr>
        <w:pStyle w:val="ListParagraph"/>
        <w:numPr>
          <w:ilvl w:val="1"/>
          <w:numId w:val="10"/>
        </w:numPr>
        <w:tabs>
          <w:tab w:pos="1103" w:val="left" w:leader="none"/>
          <w:tab w:pos="1104" w:val="left" w:leader="none"/>
        </w:tabs>
        <w:spacing w:line="360" w:lineRule="auto" w:before="5" w:after="0"/>
        <w:ind w:left="1104" w:right="113" w:hanging="476"/>
        <w:jc w:val="left"/>
        <w:rPr>
          <w:sz w:val="24"/>
        </w:rPr>
      </w:pPr>
      <w:r>
        <w:rPr>
          <w:sz w:val="24"/>
        </w:rPr>
        <w:t>w części 14 „Urządzenia do kontroli ruchu drogowego” w pkt 14.6.2.2 w akapicie pierwszym dodaje się zdanie drugie w</w:t>
      </w:r>
      <w:r>
        <w:rPr>
          <w:spacing w:val="-9"/>
          <w:sz w:val="24"/>
        </w:rPr>
        <w:t> </w:t>
      </w:r>
      <w:r>
        <w:rPr>
          <w:sz w:val="24"/>
        </w:rPr>
        <w:t>brzmieniu:</w:t>
      </w:r>
    </w:p>
    <w:p>
      <w:pPr>
        <w:pStyle w:val="BodyText"/>
        <w:spacing w:line="360" w:lineRule="auto" w:before="5"/>
        <w:ind w:left="1104" w:right="111"/>
        <w:jc w:val="both"/>
      </w:pPr>
      <w:r>
        <w:rPr/>
        <w:t>„Nie</w:t>
      </w:r>
      <w:r>
        <w:rPr>
          <w:spacing w:val="-16"/>
        </w:rPr>
        <w:t> </w:t>
      </w:r>
      <w:r>
        <w:rPr/>
        <w:t>dotyczy</w:t>
      </w:r>
      <w:r>
        <w:rPr>
          <w:spacing w:val="-16"/>
        </w:rPr>
        <w:t> </w:t>
      </w:r>
      <w:r>
        <w:rPr/>
        <w:t>to</w:t>
      </w:r>
      <w:r>
        <w:rPr>
          <w:spacing w:val="-16"/>
        </w:rPr>
        <w:t> </w:t>
      </w:r>
      <w:r>
        <w:rPr/>
        <w:t>stacjonarnych</w:t>
      </w:r>
      <w:r>
        <w:rPr>
          <w:spacing w:val="-16"/>
        </w:rPr>
        <w:t> </w:t>
      </w:r>
      <w:r>
        <w:rPr/>
        <w:t>urządzeń</w:t>
      </w:r>
      <w:r>
        <w:rPr>
          <w:spacing w:val="-16"/>
        </w:rPr>
        <w:t> </w:t>
      </w:r>
      <w:r>
        <w:rPr/>
        <w:t>rejestrujących</w:t>
      </w:r>
      <w:r>
        <w:rPr>
          <w:spacing w:val="-15"/>
        </w:rPr>
        <w:t> </w:t>
      </w:r>
      <w:r>
        <w:rPr/>
        <w:t>w</w:t>
      </w:r>
      <w:r>
        <w:rPr>
          <w:spacing w:val="-16"/>
        </w:rPr>
        <w:t> </w:t>
      </w:r>
      <w:r>
        <w:rPr/>
        <w:t>miejscach</w:t>
      </w:r>
      <w:r>
        <w:rPr>
          <w:spacing w:val="-15"/>
        </w:rPr>
        <w:t> </w:t>
      </w:r>
      <w:r>
        <w:rPr/>
        <w:t>lub</w:t>
      </w:r>
      <w:r>
        <w:rPr>
          <w:spacing w:val="-16"/>
        </w:rPr>
        <w:t> </w:t>
      </w:r>
      <w:r>
        <w:rPr/>
        <w:t>na</w:t>
      </w:r>
      <w:r>
        <w:rPr>
          <w:spacing w:val="-16"/>
        </w:rPr>
        <w:t> </w:t>
      </w:r>
      <w:r>
        <w:rPr/>
        <w:t>odcinkach wykonywanych robót</w:t>
      </w:r>
      <w:r>
        <w:rPr>
          <w:spacing w:val="-13"/>
        </w:rPr>
        <w:t> </w:t>
      </w:r>
      <w:r>
        <w:rPr/>
        <w:t>drogowych.”.</w:t>
      </w:r>
    </w:p>
    <w:p>
      <w:pPr>
        <w:pStyle w:val="BodyText"/>
        <w:spacing w:line="360" w:lineRule="auto" w:before="125"/>
        <w:ind w:left="118" w:right="112" w:firstLine="510"/>
        <w:jc w:val="both"/>
      </w:pPr>
      <w:r>
        <w:rPr>
          <w:b/>
        </w:rPr>
        <w:t>§ 2. </w:t>
      </w:r>
      <w:r>
        <w:rPr/>
        <w:t>Znaki drogowe i urządzenia bezpieczeństwa ruchu drogowego niespełniające warunków określonych w § 1 mogą pozostać w organizacji ruchu na drogach do czasu ich eksploatacyjnego zużycia, jednak nie dłużej niż przez 10 lat.</w:t>
      </w:r>
    </w:p>
    <w:p>
      <w:pPr>
        <w:pStyle w:val="BodyText"/>
        <w:spacing w:line="360" w:lineRule="auto" w:before="125"/>
        <w:ind w:left="118" w:right="112" w:firstLine="510"/>
        <w:jc w:val="both"/>
      </w:pPr>
      <w:r>
        <w:rPr>
          <w:b/>
        </w:rPr>
        <w:t>§ 3. </w:t>
      </w:r>
      <w:r>
        <w:rPr/>
        <w:t>Do projektów organizacji ruchu przedstawionych do zatwierdzenia organom zarządzającym ruchem przed dniem wejścia w życie przepisów niniejszego rozporządzenia stosuje się przepisy dotychczasowe.</w:t>
      </w:r>
    </w:p>
    <w:p>
      <w:pPr>
        <w:pStyle w:val="BodyText"/>
        <w:spacing w:before="125"/>
        <w:ind w:left="628"/>
      </w:pPr>
      <w:r>
        <w:rPr>
          <w:b/>
        </w:rPr>
        <w:t>§ 4. </w:t>
      </w:r>
      <w:r>
        <w:rPr/>
        <w:t>Rozporządzenie wchodzi w życie po upływie 14 dni od dnia ogłoszenia.</w:t>
      </w:r>
    </w:p>
    <w:p>
      <w:pPr>
        <w:pStyle w:val="BodyText"/>
        <w:rPr>
          <w:sz w:val="26"/>
        </w:rPr>
      </w:pPr>
    </w:p>
    <w:p>
      <w:pPr>
        <w:pStyle w:val="BodyText"/>
        <w:spacing w:before="4"/>
        <w:rPr>
          <w:sz w:val="32"/>
        </w:rPr>
      </w:pPr>
    </w:p>
    <w:p>
      <w:pPr>
        <w:pStyle w:val="Heading1"/>
        <w:spacing w:before="1"/>
        <w:ind w:left="5284"/>
      </w:pPr>
      <w:r>
        <w:rPr/>
        <w:t>MINISTER INFRASTRUKTURY</w:t>
      </w:r>
    </w:p>
    <w:p>
      <w:pPr>
        <w:pStyle w:val="BodyText"/>
        <w:rPr>
          <w:b/>
          <w:sz w:val="26"/>
        </w:rPr>
      </w:pPr>
    </w:p>
    <w:p>
      <w:pPr>
        <w:pStyle w:val="BodyText"/>
        <w:spacing w:before="5"/>
        <w:rPr>
          <w:b/>
          <w:sz w:val="32"/>
        </w:rPr>
      </w:pPr>
    </w:p>
    <w:p>
      <w:pPr>
        <w:spacing w:line="360" w:lineRule="auto" w:before="0"/>
        <w:ind w:left="118" w:right="6978" w:firstLine="0"/>
        <w:jc w:val="left"/>
        <w:rPr>
          <w:b/>
          <w:sz w:val="24"/>
        </w:rPr>
      </w:pPr>
      <w:r>
        <w:rPr>
          <w:b/>
          <w:sz w:val="24"/>
        </w:rPr>
        <w:t>w porozumieniu: MINISTER SPRAW WEWNĘTRZNYCH I ADMINISTRACJI</w:t>
      </w:r>
    </w:p>
    <w:p>
      <w:pPr>
        <w:pStyle w:val="BodyText"/>
        <w:rPr>
          <w:b/>
          <w:sz w:val="26"/>
        </w:rPr>
      </w:pPr>
    </w:p>
    <w:p>
      <w:pPr>
        <w:pStyle w:val="BodyText"/>
        <w:spacing w:before="3"/>
        <w:rPr>
          <w:b/>
          <w:sz w:val="31"/>
        </w:rPr>
      </w:pPr>
    </w:p>
    <w:p>
      <w:pPr>
        <w:pStyle w:val="BodyText"/>
        <w:spacing w:line="360" w:lineRule="auto"/>
        <w:ind w:left="118" w:right="5439"/>
      </w:pPr>
      <w:r>
        <w:rPr/>
        <w:t>Za zgodność pod względem prawnym, legislacyjnym i redakcyjnym</w:t>
      </w:r>
    </w:p>
    <w:p>
      <w:pPr>
        <w:pStyle w:val="BodyText"/>
        <w:spacing w:before="4"/>
        <w:ind w:left="118"/>
      </w:pPr>
      <w:r>
        <w:rPr/>
        <w:t>Tomasz Behrendt</w:t>
      </w:r>
    </w:p>
    <w:p>
      <w:pPr>
        <w:spacing w:after="0"/>
        <w:sectPr>
          <w:pgSz w:w="11910" w:h="16840"/>
          <w:pgMar w:header="719" w:footer="0" w:top="980" w:bottom="280" w:left="1300" w:right="1320"/>
        </w:sectPr>
      </w:pPr>
    </w:p>
    <w:p>
      <w:pPr>
        <w:pStyle w:val="BodyText"/>
        <w:rPr>
          <w:sz w:val="20"/>
        </w:rPr>
      </w:pPr>
    </w:p>
    <w:p>
      <w:pPr>
        <w:pStyle w:val="BodyText"/>
        <w:spacing w:before="2"/>
        <w:rPr>
          <w:sz w:val="22"/>
        </w:rPr>
      </w:pPr>
    </w:p>
    <w:p>
      <w:pPr>
        <w:pStyle w:val="BodyText"/>
        <w:spacing w:line="360" w:lineRule="auto" w:before="90"/>
        <w:ind w:left="118" w:right="4467"/>
      </w:pPr>
      <w:r>
        <w:rPr/>
        <w:t>Zastępca Dyrektora Departamentu Prawnego w Ministerstwie Infrastruktury</w:t>
      </w:r>
    </w:p>
    <w:sectPr>
      <w:pgSz w:w="11910" w:h="16840"/>
      <w:pgMar w:header="719" w:footer="0" w:top="980" w:bottom="280" w:left="1300" w:right="168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EE"/>
    <w:family w:val="roman"/>
    <w:pitch w:val="variable"/>
  </w:font>
  <w:font w:name="Symbol">
    <w:altName w:val="Symbol"/>
    <w:charset w:val="2"/>
    <w:family w:val="roman"/>
    <w:pitch w:val="variable"/>
  </w:font>
</w:font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type id="_x0000_t202" o:spt="202" coordsize="21600,21600" path="m,l,21600r21600,l21600,xe">
          <v:stroke joinstyle="miter"/>
          <v:path gradientshapeok="t" o:connecttype="rect"/>
        </v:shapetype>
        <v:shape style="position:absolute;margin-left:281.25pt;margin-top:34.959641pt;width:32pt;height:15.3pt;mso-position-horizontal-relative:page;mso-position-vertical-relative:page;z-index:-20032" type="#_x0000_t202" filled="false" stroked="false">
          <v:textbox inset="0,0,0,0">
            <w:txbxContent>
              <w:p>
                <w:pPr>
                  <w:pStyle w:val="BodyText"/>
                  <w:spacing w:before="10"/>
                  <w:ind w:left="20"/>
                </w:pPr>
                <w:r>
                  <w:rPr/>
                  <w:t>– </w:t>
                </w:r>
                <w:r>
                  <w:rPr/>
                  <w:fldChar w:fldCharType="begin"/>
                </w:r>
                <w:r>
                  <w:rPr/>
                  <w:instrText> PAGE </w:instrText>
                </w:r>
                <w:r>
                  <w:rPr/>
                  <w:fldChar w:fldCharType="separate"/>
                </w:r>
                <w:r>
                  <w:rPr/>
                  <w:t>10</w:t>
                </w:r>
                <w:r>
                  <w:rPr/>
                  <w:fldChar w:fldCharType="end"/>
                </w:r>
                <w:r>
                  <w:rPr/>
                  <w:t> –</w:t>
                </w:r>
              </w:p>
            </w:txbxContent>
          </v:textbox>
          <w10:wrap type="none"/>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10">
    <w:multiLevelType w:val="hybridMultilevel"/>
    <w:lvl w:ilvl="0">
      <w:start w:val="0"/>
      <w:numFmt w:val="bullet"/>
      <w:lvlText w:val="–"/>
      <w:lvlJc w:val="left"/>
      <w:pPr>
        <w:ind w:left="1122" w:hanging="397"/>
      </w:pPr>
      <w:rPr>
        <w:rFonts w:hint="default" w:ascii="Times New Roman" w:hAnsi="Times New Roman" w:eastAsia="Times New Roman" w:cs="Times New Roman"/>
        <w:spacing w:val="-1"/>
        <w:w w:val="99"/>
        <w:sz w:val="24"/>
        <w:szCs w:val="24"/>
      </w:rPr>
    </w:lvl>
    <w:lvl w:ilvl="1">
      <w:start w:val="0"/>
      <w:numFmt w:val="bullet"/>
      <w:lvlText w:val="–"/>
      <w:lvlJc w:val="left"/>
      <w:pPr>
        <w:ind w:left="1301" w:hanging="180"/>
      </w:pPr>
      <w:rPr>
        <w:rFonts w:hint="default" w:ascii="Times New Roman" w:hAnsi="Times New Roman" w:eastAsia="Times New Roman" w:cs="Times New Roman"/>
        <w:spacing w:val="-23"/>
        <w:w w:val="99"/>
        <w:sz w:val="24"/>
        <w:szCs w:val="24"/>
      </w:rPr>
    </w:lvl>
    <w:lvl w:ilvl="2">
      <w:start w:val="0"/>
      <w:numFmt w:val="bullet"/>
      <w:lvlText w:val="–"/>
      <w:lvlJc w:val="left"/>
      <w:pPr>
        <w:ind w:left="1915" w:hanging="397"/>
      </w:pPr>
      <w:rPr>
        <w:rFonts w:hint="default" w:ascii="Times New Roman" w:hAnsi="Times New Roman" w:eastAsia="Times New Roman" w:cs="Times New Roman"/>
        <w:spacing w:val="-23"/>
        <w:w w:val="100"/>
        <w:sz w:val="24"/>
        <w:szCs w:val="24"/>
      </w:rPr>
    </w:lvl>
    <w:lvl w:ilvl="3">
      <w:start w:val="0"/>
      <w:numFmt w:val="bullet"/>
      <w:lvlText w:val="•"/>
      <w:lvlJc w:val="left"/>
      <w:pPr>
        <w:ind w:left="2793" w:hanging="397"/>
      </w:pPr>
      <w:rPr>
        <w:rFonts w:hint="default"/>
      </w:rPr>
    </w:lvl>
    <w:lvl w:ilvl="4">
      <w:start w:val="0"/>
      <w:numFmt w:val="bullet"/>
      <w:lvlText w:val="•"/>
      <w:lvlJc w:val="left"/>
      <w:pPr>
        <w:ind w:left="3666" w:hanging="397"/>
      </w:pPr>
      <w:rPr>
        <w:rFonts w:hint="default"/>
      </w:rPr>
    </w:lvl>
    <w:lvl w:ilvl="5">
      <w:start w:val="0"/>
      <w:numFmt w:val="bullet"/>
      <w:lvlText w:val="•"/>
      <w:lvlJc w:val="left"/>
      <w:pPr>
        <w:ind w:left="4539" w:hanging="397"/>
      </w:pPr>
      <w:rPr>
        <w:rFonts w:hint="default"/>
      </w:rPr>
    </w:lvl>
    <w:lvl w:ilvl="6">
      <w:start w:val="0"/>
      <w:numFmt w:val="bullet"/>
      <w:lvlText w:val="•"/>
      <w:lvlJc w:val="left"/>
      <w:pPr>
        <w:ind w:left="5413" w:hanging="397"/>
      </w:pPr>
      <w:rPr>
        <w:rFonts w:hint="default"/>
      </w:rPr>
    </w:lvl>
    <w:lvl w:ilvl="7">
      <w:start w:val="0"/>
      <w:numFmt w:val="bullet"/>
      <w:lvlText w:val="•"/>
      <w:lvlJc w:val="left"/>
      <w:pPr>
        <w:ind w:left="6286" w:hanging="397"/>
      </w:pPr>
      <w:rPr>
        <w:rFonts w:hint="default"/>
      </w:rPr>
    </w:lvl>
    <w:lvl w:ilvl="8">
      <w:start w:val="0"/>
      <w:numFmt w:val="bullet"/>
      <w:lvlText w:val="•"/>
      <w:lvlJc w:val="left"/>
      <w:pPr>
        <w:ind w:left="7159" w:hanging="397"/>
      </w:pPr>
      <w:rPr>
        <w:rFonts w:hint="default"/>
      </w:rPr>
    </w:lvl>
  </w:abstractNum>
  <w:abstractNum w:abstractNumId="9">
    <w:multiLevelType w:val="hybridMultilevel"/>
    <w:lvl w:ilvl="0">
      <w:start w:val="2"/>
      <w:numFmt w:val="decimal"/>
      <w:lvlText w:val="%1)"/>
      <w:lvlJc w:val="left"/>
      <w:pPr>
        <w:ind w:left="628" w:hanging="510"/>
        <w:jc w:val="left"/>
      </w:pPr>
      <w:rPr>
        <w:rFonts w:hint="default" w:ascii="Times New Roman" w:hAnsi="Times New Roman" w:eastAsia="Times New Roman" w:cs="Times New Roman"/>
        <w:spacing w:val="-1"/>
        <w:w w:val="99"/>
        <w:sz w:val="24"/>
        <w:szCs w:val="24"/>
      </w:rPr>
    </w:lvl>
    <w:lvl w:ilvl="1">
      <w:start w:val="1"/>
      <w:numFmt w:val="lowerLetter"/>
      <w:lvlText w:val="%2)"/>
      <w:lvlJc w:val="left"/>
      <w:pPr>
        <w:ind w:left="1104" w:hanging="476"/>
        <w:jc w:val="left"/>
      </w:pPr>
      <w:rPr>
        <w:rFonts w:hint="default" w:ascii="Times New Roman" w:hAnsi="Times New Roman" w:eastAsia="Times New Roman" w:cs="Times New Roman"/>
        <w:spacing w:val="-1"/>
        <w:w w:val="99"/>
        <w:sz w:val="24"/>
        <w:szCs w:val="24"/>
      </w:rPr>
    </w:lvl>
    <w:lvl w:ilvl="2">
      <w:start w:val="0"/>
      <w:numFmt w:val="bullet"/>
      <w:lvlText w:val="–"/>
      <w:lvlJc w:val="left"/>
      <w:pPr>
        <w:ind w:left="1518" w:hanging="397"/>
      </w:pPr>
      <w:rPr>
        <w:rFonts w:hint="default" w:ascii="Times New Roman" w:hAnsi="Times New Roman" w:eastAsia="Times New Roman" w:cs="Times New Roman"/>
        <w:spacing w:val="-1"/>
        <w:w w:val="100"/>
        <w:sz w:val="24"/>
        <w:szCs w:val="24"/>
      </w:rPr>
    </w:lvl>
    <w:lvl w:ilvl="3">
      <w:start w:val="0"/>
      <w:numFmt w:val="bullet"/>
      <w:lvlText w:val="–"/>
      <w:lvlJc w:val="left"/>
      <w:pPr>
        <w:ind w:left="1898" w:hanging="397"/>
      </w:pPr>
      <w:rPr>
        <w:rFonts w:hint="default" w:ascii="Times New Roman" w:hAnsi="Times New Roman" w:eastAsia="Times New Roman" w:cs="Times New Roman"/>
        <w:w w:val="99"/>
        <w:sz w:val="24"/>
        <w:szCs w:val="24"/>
      </w:rPr>
    </w:lvl>
    <w:lvl w:ilvl="4">
      <w:start w:val="0"/>
      <w:numFmt w:val="bullet"/>
      <w:lvlText w:val="•"/>
      <w:lvlJc w:val="left"/>
      <w:pPr>
        <w:ind w:left="1680" w:hanging="397"/>
      </w:pPr>
      <w:rPr>
        <w:rFonts w:hint="default"/>
      </w:rPr>
    </w:lvl>
    <w:lvl w:ilvl="5">
      <w:start w:val="0"/>
      <w:numFmt w:val="bullet"/>
      <w:lvlText w:val="•"/>
      <w:lvlJc w:val="left"/>
      <w:pPr>
        <w:ind w:left="1900" w:hanging="397"/>
      </w:pPr>
      <w:rPr>
        <w:rFonts w:hint="default"/>
      </w:rPr>
    </w:lvl>
    <w:lvl w:ilvl="6">
      <w:start w:val="0"/>
      <w:numFmt w:val="bullet"/>
      <w:lvlText w:val="•"/>
      <w:lvlJc w:val="left"/>
      <w:pPr>
        <w:ind w:left="3377" w:hanging="397"/>
      </w:pPr>
      <w:rPr>
        <w:rFonts w:hint="default"/>
      </w:rPr>
    </w:lvl>
    <w:lvl w:ilvl="7">
      <w:start w:val="0"/>
      <w:numFmt w:val="bullet"/>
      <w:lvlText w:val="•"/>
      <w:lvlJc w:val="left"/>
      <w:pPr>
        <w:ind w:left="4854" w:hanging="397"/>
      </w:pPr>
      <w:rPr>
        <w:rFonts w:hint="default"/>
      </w:rPr>
    </w:lvl>
    <w:lvl w:ilvl="8">
      <w:start w:val="0"/>
      <w:numFmt w:val="bullet"/>
      <w:lvlText w:val="•"/>
      <w:lvlJc w:val="left"/>
      <w:pPr>
        <w:ind w:left="6331" w:hanging="397"/>
      </w:pPr>
      <w:rPr>
        <w:rFonts w:hint="default"/>
      </w:rPr>
    </w:lvl>
  </w:abstractNum>
  <w:abstractNum w:abstractNumId="8">
    <w:multiLevelType w:val="hybridMultilevel"/>
    <w:lvl w:ilvl="0">
      <w:start w:val="1"/>
      <w:numFmt w:val="lowerLetter"/>
      <w:lvlText w:val="%1)"/>
      <w:lvlJc w:val="left"/>
      <w:pPr>
        <w:ind w:left="1764" w:hanging="247"/>
        <w:jc w:val="left"/>
      </w:pPr>
      <w:rPr>
        <w:rFonts w:hint="default" w:ascii="Times New Roman" w:hAnsi="Times New Roman" w:eastAsia="Times New Roman" w:cs="Times New Roman"/>
        <w:spacing w:val="-1"/>
        <w:w w:val="100"/>
        <w:sz w:val="24"/>
        <w:szCs w:val="24"/>
      </w:rPr>
    </w:lvl>
    <w:lvl w:ilvl="1">
      <w:start w:val="0"/>
      <w:numFmt w:val="bullet"/>
      <w:lvlText w:val="•"/>
      <w:lvlJc w:val="left"/>
      <w:pPr>
        <w:ind w:left="2484" w:hanging="247"/>
      </w:pPr>
      <w:rPr>
        <w:rFonts w:hint="default"/>
      </w:rPr>
    </w:lvl>
    <w:lvl w:ilvl="2">
      <w:start w:val="0"/>
      <w:numFmt w:val="bullet"/>
      <w:lvlText w:val="•"/>
      <w:lvlJc w:val="left"/>
      <w:pPr>
        <w:ind w:left="3209" w:hanging="247"/>
      </w:pPr>
      <w:rPr>
        <w:rFonts w:hint="default"/>
      </w:rPr>
    </w:lvl>
    <w:lvl w:ilvl="3">
      <w:start w:val="0"/>
      <w:numFmt w:val="bullet"/>
      <w:lvlText w:val="•"/>
      <w:lvlJc w:val="left"/>
      <w:pPr>
        <w:ind w:left="3933" w:hanging="247"/>
      </w:pPr>
      <w:rPr>
        <w:rFonts w:hint="default"/>
      </w:rPr>
    </w:lvl>
    <w:lvl w:ilvl="4">
      <w:start w:val="0"/>
      <w:numFmt w:val="bullet"/>
      <w:lvlText w:val="•"/>
      <w:lvlJc w:val="left"/>
      <w:pPr>
        <w:ind w:left="4658" w:hanging="247"/>
      </w:pPr>
      <w:rPr>
        <w:rFonts w:hint="default"/>
      </w:rPr>
    </w:lvl>
    <w:lvl w:ilvl="5">
      <w:start w:val="0"/>
      <w:numFmt w:val="bullet"/>
      <w:lvlText w:val="•"/>
      <w:lvlJc w:val="left"/>
      <w:pPr>
        <w:ind w:left="5383" w:hanging="247"/>
      </w:pPr>
      <w:rPr>
        <w:rFonts w:hint="default"/>
      </w:rPr>
    </w:lvl>
    <w:lvl w:ilvl="6">
      <w:start w:val="0"/>
      <w:numFmt w:val="bullet"/>
      <w:lvlText w:val="•"/>
      <w:lvlJc w:val="left"/>
      <w:pPr>
        <w:ind w:left="6107" w:hanging="247"/>
      </w:pPr>
      <w:rPr>
        <w:rFonts w:hint="default"/>
      </w:rPr>
    </w:lvl>
    <w:lvl w:ilvl="7">
      <w:start w:val="0"/>
      <w:numFmt w:val="bullet"/>
      <w:lvlText w:val="•"/>
      <w:lvlJc w:val="left"/>
      <w:pPr>
        <w:ind w:left="6832" w:hanging="247"/>
      </w:pPr>
      <w:rPr>
        <w:rFonts w:hint="default"/>
      </w:rPr>
    </w:lvl>
    <w:lvl w:ilvl="8">
      <w:start w:val="0"/>
      <w:numFmt w:val="bullet"/>
      <w:lvlText w:val="•"/>
      <w:lvlJc w:val="left"/>
      <w:pPr>
        <w:ind w:left="7556" w:hanging="247"/>
      </w:pPr>
      <w:rPr>
        <w:rFonts w:hint="default"/>
      </w:rPr>
    </w:lvl>
  </w:abstractNum>
  <w:abstractNum w:abstractNumId="7">
    <w:multiLevelType w:val="hybridMultilevel"/>
    <w:lvl w:ilvl="0">
      <w:start w:val="1"/>
      <w:numFmt w:val="lowerLetter"/>
      <w:lvlText w:val="%1)"/>
      <w:lvlJc w:val="left"/>
      <w:pPr>
        <w:ind w:left="1427" w:hanging="307"/>
        <w:jc w:val="left"/>
      </w:pPr>
      <w:rPr>
        <w:rFonts w:hint="default" w:ascii="Times New Roman" w:hAnsi="Times New Roman" w:eastAsia="Times New Roman" w:cs="Times New Roman"/>
        <w:spacing w:val="-1"/>
        <w:w w:val="100"/>
        <w:sz w:val="24"/>
        <w:szCs w:val="24"/>
      </w:rPr>
    </w:lvl>
    <w:lvl w:ilvl="1">
      <w:start w:val="0"/>
      <w:numFmt w:val="bullet"/>
      <w:lvlText w:val="•"/>
      <w:lvlJc w:val="left"/>
      <w:pPr>
        <w:ind w:left="2168" w:hanging="307"/>
      </w:pPr>
      <w:rPr>
        <w:rFonts w:hint="default"/>
      </w:rPr>
    </w:lvl>
    <w:lvl w:ilvl="2">
      <w:start w:val="0"/>
      <w:numFmt w:val="bullet"/>
      <w:lvlText w:val="•"/>
      <w:lvlJc w:val="left"/>
      <w:pPr>
        <w:ind w:left="2917" w:hanging="307"/>
      </w:pPr>
      <w:rPr>
        <w:rFonts w:hint="default"/>
      </w:rPr>
    </w:lvl>
    <w:lvl w:ilvl="3">
      <w:start w:val="0"/>
      <w:numFmt w:val="bullet"/>
      <w:lvlText w:val="•"/>
      <w:lvlJc w:val="left"/>
      <w:pPr>
        <w:ind w:left="3665" w:hanging="307"/>
      </w:pPr>
      <w:rPr>
        <w:rFonts w:hint="default"/>
      </w:rPr>
    </w:lvl>
    <w:lvl w:ilvl="4">
      <w:start w:val="0"/>
      <w:numFmt w:val="bullet"/>
      <w:lvlText w:val="•"/>
      <w:lvlJc w:val="left"/>
      <w:pPr>
        <w:ind w:left="4414" w:hanging="307"/>
      </w:pPr>
      <w:rPr>
        <w:rFonts w:hint="default"/>
      </w:rPr>
    </w:lvl>
    <w:lvl w:ilvl="5">
      <w:start w:val="0"/>
      <w:numFmt w:val="bullet"/>
      <w:lvlText w:val="•"/>
      <w:lvlJc w:val="left"/>
      <w:pPr>
        <w:ind w:left="5163" w:hanging="307"/>
      </w:pPr>
      <w:rPr>
        <w:rFonts w:hint="default"/>
      </w:rPr>
    </w:lvl>
    <w:lvl w:ilvl="6">
      <w:start w:val="0"/>
      <w:numFmt w:val="bullet"/>
      <w:lvlText w:val="•"/>
      <w:lvlJc w:val="left"/>
      <w:pPr>
        <w:ind w:left="5911" w:hanging="307"/>
      </w:pPr>
      <w:rPr>
        <w:rFonts w:hint="default"/>
      </w:rPr>
    </w:lvl>
    <w:lvl w:ilvl="7">
      <w:start w:val="0"/>
      <w:numFmt w:val="bullet"/>
      <w:lvlText w:val="•"/>
      <w:lvlJc w:val="left"/>
      <w:pPr>
        <w:ind w:left="6660" w:hanging="307"/>
      </w:pPr>
      <w:rPr>
        <w:rFonts w:hint="default"/>
      </w:rPr>
    </w:lvl>
    <w:lvl w:ilvl="8">
      <w:start w:val="0"/>
      <w:numFmt w:val="bullet"/>
      <w:lvlText w:val="•"/>
      <w:lvlJc w:val="left"/>
      <w:pPr>
        <w:ind w:left="7408" w:hanging="307"/>
      </w:pPr>
      <w:rPr>
        <w:rFonts w:hint="default"/>
      </w:rPr>
    </w:lvl>
  </w:abstractNum>
  <w:abstractNum w:abstractNumId="6">
    <w:multiLevelType w:val="hybridMultilevel"/>
    <w:lvl w:ilvl="0">
      <w:start w:val="1"/>
      <w:numFmt w:val="lowerLetter"/>
      <w:lvlText w:val="%1)"/>
      <w:lvlJc w:val="left"/>
      <w:pPr>
        <w:ind w:left="1367" w:hanging="247"/>
        <w:jc w:val="left"/>
      </w:pPr>
      <w:rPr>
        <w:rFonts w:hint="default" w:ascii="Times New Roman" w:hAnsi="Times New Roman" w:eastAsia="Times New Roman" w:cs="Times New Roman"/>
        <w:spacing w:val="-1"/>
        <w:w w:val="100"/>
        <w:sz w:val="24"/>
        <w:szCs w:val="24"/>
      </w:rPr>
    </w:lvl>
    <w:lvl w:ilvl="1">
      <w:start w:val="0"/>
      <w:numFmt w:val="bullet"/>
      <w:lvlText w:val="•"/>
      <w:lvlJc w:val="left"/>
      <w:pPr>
        <w:ind w:left="2114" w:hanging="247"/>
      </w:pPr>
      <w:rPr>
        <w:rFonts w:hint="default"/>
      </w:rPr>
    </w:lvl>
    <w:lvl w:ilvl="2">
      <w:start w:val="0"/>
      <w:numFmt w:val="bullet"/>
      <w:lvlText w:val="•"/>
      <w:lvlJc w:val="left"/>
      <w:pPr>
        <w:ind w:left="2869" w:hanging="247"/>
      </w:pPr>
      <w:rPr>
        <w:rFonts w:hint="default"/>
      </w:rPr>
    </w:lvl>
    <w:lvl w:ilvl="3">
      <w:start w:val="0"/>
      <w:numFmt w:val="bullet"/>
      <w:lvlText w:val="•"/>
      <w:lvlJc w:val="left"/>
      <w:pPr>
        <w:ind w:left="3623" w:hanging="247"/>
      </w:pPr>
      <w:rPr>
        <w:rFonts w:hint="default"/>
      </w:rPr>
    </w:lvl>
    <w:lvl w:ilvl="4">
      <w:start w:val="0"/>
      <w:numFmt w:val="bullet"/>
      <w:lvlText w:val="•"/>
      <w:lvlJc w:val="left"/>
      <w:pPr>
        <w:ind w:left="4378" w:hanging="247"/>
      </w:pPr>
      <w:rPr>
        <w:rFonts w:hint="default"/>
      </w:rPr>
    </w:lvl>
    <w:lvl w:ilvl="5">
      <w:start w:val="0"/>
      <w:numFmt w:val="bullet"/>
      <w:lvlText w:val="•"/>
      <w:lvlJc w:val="left"/>
      <w:pPr>
        <w:ind w:left="5133" w:hanging="247"/>
      </w:pPr>
      <w:rPr>
        <w:rFonts w:hint="default"/>
      </w:rPr>
    </w:lvl>
    <w:lvl w:ilvl="6">
      <w:start w:val="0"/>
      <w:numFmt w:val="bullet"/>
      <w:lvlText w:val="•"/>
      <w:lvlJc w:val="left"/>
      <w:pPr>
        <w:ind w:left="5887" w:hanging="247"/>
      </w:pPr>
      <w:rPr>
        <w:rFonts w:hint="default"/>
      </w:rPr>
    </w:lvl>
    <w:lvl w:ilvl="7">
      <w:start w:val="0"/>
      <w:numFmt w:val="bullet"/>
      <w:lvlText w:val="•"/>
      <w:lvlJc w:val="left"/>
      <w:pPr>
        <w:ind w:left="6642" w:hanging="247"/>
      </w:pPr>
      <w:rPr>
        <w:rFonts w:hint="default"/>
      </w:rPr>
    </w:lvl>
    <w:lvl w:ilvl="8">
      <w:start w:val="0"/>
      <w:numFmt w:val="bullet"/>
      <w:lvlText w:val="•"/>
      <w:lvlJc w:val="left"/>
      <w:pPr>
        <w:ind w:left="7396" w:hanging="247"/>
      </w:pPr>
      <w:rPr>
        <w:rFonts w:hint="default"/>
      </w:rPr>
    </w:lvl>
  </w:abstractNum>
  <w:abstractNum w:abstractNumId="5">
    <w:multiLevelType w:val="hybridMultilevel"/>
    <w:lvl w:ilvl="0">
      <w:start w:val="5"/>
      <w:numFmt w:val="upperLetter"/>
      <w:lvlText w:val="%1"/>
      <w:lvlJc w:val="left"/>
      <w:pPr>
        <w:ind w:left="1121" w:hanging="539"/>
        <w:jc w:val="left"/>
      </w:pPr>
      <w:rPr>
        <w:rFonts w:hint="default"/>
      </w:rPr>
    </w:lvl>
    <w:lvl w:ilvl="1">
      <w:start w:val="14"/>
      <w:numFmt w:val="decimal"/>
      <w:lvlText w:val="%1-%2"/>
      <w:lvlJc w:val="left"/>
      <w:pPr>
        <w:ind w:left="1121" w:hanging="539"/>
        <w:jc w:val="left"/>
      </w:pPr>
      <w:rPr>
        <w:rFonts w:hint="default" w:ascii="Times New Roman" w:hAnsi="Times New Roman" w:eastAsia="Times New Roman" w:cs="Times New Roman"/>
        <w:spacing w:val="-1"/>
        <w:w w:val="100"/>
        <w:sz w:val="24"/>
        <w:szCs w:val="24"/>
      </w:rPr>
    </w:lvl>
    <w:lvl w:ilvl="2">
      <w:start w:val="1"/>
      <w:numFmt w:val="lowerLetter"/>
      <w:lvlText w:val="%3)"/>
      <w:lvlJc w:val="left"/>
      <w:pPr>
        <w:ind w:left="1764" w:hanging="247"/>
        <w:jc w:val="left"/>
      </w:pPr>
      <w:rPr>
        <w:rFonts w:hint="default" w:ascii="Times New Roman" w:hAnsi="Times New Roman" w:eastAsia="Times New Roman" w:cs="Times New Roman"/>
        <w:spacing w:val="-1"/>
        <w:w w:val="100"/>
        <w:sz w:val="24"/>
        <w:szCs w:val="24"/>
      </w:rPr>
    </w:lvl>
    <w:lvl w:ilvl="3">
      <w:start w:val="0"/>
      <w:numFmt w:val="bullet"/>
      <w:lvlText w:val="•"/>
      <w:lvlJc w:val="left"/>
      <w:pPr>
        <w:ind w:left="3348" w:hanging="247"/>
      </w:pPr>
      <w:rPr>
        <w:rFonts w:hint="default"/>
      </w:rPr>
    </w:lvl>
    <w:lvl w:ilvl="4">
      <w:start w:val="0"/>
      <w:numFmt w:val="bullet"/>
      <w:lvlText w:val="•"/>
      <w:lvlJc w:val="left"/>
      <w:pPr>
        <w:ind w:left="4142" w:hanging="247"/>
      </w:pPr>
      <w:rPr>
        <w:rFonts w:hint="default"/>
      </w:rPr>
    </w:lvl>
    <w:lvl w:ilvl="5">
      <w:start w:val="0"/>
      <w:numFmt w:val="bullet"/>
      <w:lvlText w:val="•"/>
      <w:lvlJc w:val="left"/>
      <w:pPr>
        <w:ind w:left="4936" w:hanging="247"/>
      </w:pPr>
      <w:rPr>
        <w:rFonts w:hint="default"/>
      </w:rPr>
    </w:lvl>
    <w:lvl w:ilvl="6">
      <w:start w:val="0"/>
      <w:numFmt w:val="bullet"/>
      <w:lvlText w:val="•"/>
      <w:lvlJc w:val="left"/>
      <w:pPr>
        <w:ind w:left="5730" w:hanging="247"/>
      </w:pPr>
      <w:rPr>
        <w:rFonts w:hint="default"/>
      </w:rPr>
    </w:lvl>
    <w:lvl w:ilvl="7">
      <w:start w:val="0"/>
      <w:numFmt w:val="bullet"/>
      <w:lvlText w:val="•"/>
      <w:lvlJc w:val="left"/>
      <w:pPr>
        <w:ind w:left="6524" w:hanging="247"/>
      </w:pPr>
      <w:rPr>
        <w:rFonts w:hint="default"/>
      </w:rPr>
    </w:lvl>
    <w:lvl w:ilvl="8">
      <w:start w:val="0"/>
      <w:numFmt w:val="bullet"/>
      <w:lvlText w:val="•"/>
      <w:lvlJc w:val="left"/>
      <w:pPr>
        <w:ind w:left="7318" w:hanging="247"/>
      </w:pPr>
      <w:rPr>
        <w:rFonts w:hint="default"/>
      </w:rPr>
    </w:lvl>
  </w:abstractNum>
  <w:abstractNum w:abstractNumId="4">
    <w:multiLevelType w:val="hybridMultilevel"/>
    <w:lvl w:ilvl="0">
      <w:start w:val="1"/>
      <w:numFmt w:val="lowerLetter"/>
      <w:lvlText w:val="%1)"/>
      <w:lvlJc w:val="left"/>
      <w:pPr>
        <w:ind w:left="1764" w:hanging="247"/>
        <w:jc w:val="left"/>
      </w:pPr>
      <w:rPr>
        <w:rFonts w:hint="default" w:ascii="Times New Roman" w:hAnsi="Times New Roman" w:eastAsia="Times New Roman" w:cs="Times New Roman"/>
        <w:spacing w:val="-1"/>
        <w:w w:val="99"/>
        <w:sz w:val="24"/>
        <w:szCs w:val="24"/>
      </w:rPr>
    </w:lvl>
    <w:lvl w:ilvl="1">
      <w:start w:val="0"/>
      <w:numFmt w:val="bullet"/>
      <w:lvlText w:val="•"/>
      <w:lvlJc w:val="left"/>
      <w:pPr>
        <w:ind w:left="2474" w:hanging="247"/>
      </w:pPr>
      <w:rPr>
        <w:rFonts w:hint="default"/>
      </w:rPr>
    </w:lvl>
    <w:lvl w:ilvl="2">
      <w:start w:val="0"/>
      <w:numFmt w:val="bullet"/>
      <w:lvlText w:val="•"/>
      <w:lvlJc w:val="left"/>
      <w:pPr>
        <w:ind w:left="3189" w:hanging="247"/>
      </w:pPr>
      <w:rPr>
        <w:rFonts w:hint="default"/>
      </w:rPr>
    </w:lvl>
    <w:lvl w:ilvl="3">
      <w:start w:val="0"/>
      <w:numFmt w:val="bullet"/>
      <w:lvlText w:val="•"/>
      <w:lvlJc w:val="left"/>
      <w:pPr>
        <w:ind w:left="3903" w:hanging="247"/>
      </w:pPr>
      <w:rPr>
        <w:rFonts w:hint="default"/>
      </w:rPr>
    </w:lvl>
    <w:lvl w:ilvl="4">
      <w:start w:val="0"/>
      <w:numFmt w:val="bullet"/>
      <w:lvlText w:val="•"/>
      <w:lvlJc w:val="left"/>
      <w:pPr>
        <w:ind w:left="4618" w:hanging="247"/>
      </w:pPr>
      <w:rPr>
        <w:rFonts w:hint="default"/>
      </w:rPr>
    </w:lvl>
    <w:lvl w:ilvl="5">
      <w:start w:val="0"/>
      <w:numFmt w:val="bullet"/>
      <w:lvlText w:val="•"/>
      <w:lvlJc w:val="left"/>
      <w:pPr>
        <w:ind w:left="5333" w:hanging="247"/>
      </w:pPr>
      <w:rPr>
        <w:rFonts w:hint="default"/>
      </w:rPr>
    </w:lvl>
    <w:lvl w:ilvl="6">
      <w:start w:val="0"/>
      <w:numFmt w:val="bullet"/>
      <w:lvlText w:val="•"/>
      <w:lvlJc w:val="left"/>
      <w:pPr>
        <w:ind w:left="6047" w:hanging="247"/>
      </w:pPr>
      <w:rPr>
        <w:rFonts w:hint="default"/>
      </w:rPr>
    </w:lvl>
    <w:lvl w:ilvl="7">
      <w:start w:val="0"/>
      <w:numFmt w:val="bullet"/>
      <w:lvlText w:val="•"/>
      <w:lvlJc w:val="left"/>
      <w:pPr>
        <w:ind w:left="6762" w:hanging="247"/>
      </w:pPr>
      <w:rPr>
        <w:rFonts w:hint="default"/>
      </w:rPr>
    </w:lvl>
    <w:lvl w:ilvl="8">
      <w:start w:val="0"/>
      <w:numFmt w:val="bullet"/>
      <w:lvlText w:val="•"/>
      <w:lvlJc w:val="left"/>
      <w:pPr>
        <w:ind w:left="7476" w:hanging="247"/>
      </w:pPr>
      <w:rPr>
        <w:rFonts w:hint="default"/>
      </w:rPr>
    </w:lvl>
  </w:abstractNum>
  <w:abstractNum w:abstractNumId="3">
    <w:multiLevelType w:val="hybridMultilevel"/>
    <w:lvl w:ilvl="0">
      <w:start w:val="1"/>
      <w:numFmt w:val="lowerLetter"/>
      <w:lvlText w:val="%1)"/>
      <w:lvlJc w:val="left"/>
      <w:pPr>
        <w:ind w:left="1764" w:hanging="247"/>
        <w:jc w:val="left"/>
      </w:pPr>
      <w:rPr>
        <w:rFonts w:hint="default" w:ascii="Times New Roman" w:hAnsi="Times New Roman" w:eastAsia="Times New Roman" w:cs="Times New Roman"/>
        <w:spacing w:val="-1"/>
        <w:w w:val="99"/>
        <w:sz w:val="24"/>
        <w:szCs w:val="24"/>
      </w:rPr>
    </w:lvl>
    <w:lvl w:ilvl="1">
      <w:start w:val="0"/>
      <w:numFmt w:val="bullet"/>
      <w:lvlText w:val="•"/>
      <w:lvlJc w:val="left"/>
      <w:pPr>
        <w:ind w:left="2484" w:hanging="247"/>
      </w:pPr>
      <w:rPr>
        <w:rFonts w:hint="default"/>
      </w:rPr>
    </w:lvl>
    <w:lvl w:ilvl="2">
      <w:start w:val="0"/>
      <w:numFmt w:val="bullet"/>
      <w:lvlText w:val="•"/>
      <w:lvlJc w:val="left"/>
      <w:pPr>
        <w:ind w:left="3209" w:hanging="247"/>
      </w:pPr>
      <w:rPr>
        <w:rFonts w:hint="default"/>
      </w:rPr>
    </w:lvl>
    <w:lvl w:ilvl="3">
      <w:start w:val="0"/>
      <w:numFmt w:val="bullet"/>
      <w:lvlText w:val="•"/>
      <w:lvlJc w:val="left"/>
      <w:pPr>
        <w:ind w:left="3933" w:hanging="247"/>
      </w:pPr>
      <w:rPr>
        <w:rFonts w:hint="default"/>
      </w:rPr>
    </w:lvl>
    <w:lvl w:ilvl="4">
      <w:start w:val="0"/>
      <w:numFmt w:val="bullet"/>
      <w:lvlText w:val="•"/>
      <w:lvlJc w:val="left"/>
      <w:pPr>
        <w:ind w:left="4658" w:hanging="247"/>
      </w:pPr>
      <w:rPr>
        <w:rFonts w:hint="default"/>
      </w:rPr>
    </w:lvl>
    <w:lvl w:ilvl="5">
      <w:start w:val="0"/>
      <w:numFmt w:val="bullet"/>
      <w:lvlText w:val="•"/>
      <w:lvlJc w:val="left"/>
      <w:pPr>
        <w:ind w:left="5383" w:hanging="247"/>
      </w:pPr>
      <w:rPr>
        <w:rFonts w:hint="default"/>
      </w:rPr>
    </w:lvl>
    <w:lvl w:ilvl="6">
      <w:start w:val="0"/>
      <w:numFmt w:val="bullet"/>
      <w:lvlText w:val="•"/>
      <w:lvlJc w:val="left"/>
      <w:pPr>
        <w:ind w:left="6107" w:hanging="247"/>
      </w:pPr>
      <w:rPr>
        <w:rFonts w:hint="default"/>
      </w:rPr>
    </w:lvl>
    <w:lvl w:ilvl="7">
      <w:start w:val="0"/>
      <w:numFmt w:val="bullet"/>
      <w:lvlText w:val="•"/>
      <w:lvlJc w:val="left"/>
      <w:pPr>
        <w:ind w:left="6832" w:hanging="247"/>
      </w:pPr>
      <w:rPr>
        <w:rFonts w:hint="default"/>
      </w:rPr>
    </w:lvl>
    <w:lvl w:ilvl="8">
      <w:start w:val="0"/>
      <w:numFmt w:val="bullet"/>
      <w:lvlText w:val="•"/>
      <w:lvlJc w:val="left"/>
      <w:pPr>
        <w:ind w:left="7556" w:hanging="247"/>
      </w:pPr>
      <w:rPr>
        <w:rFonts w:hint="default"/>
      </w:rPr>
    </w:lvl>
  </w:abstractNum>
  <w:abstractNum w:abstractNumId="2">
    <w:multiLevelType w:val="hybridMultilevel"/>
    <w:lvl w:ilvl="0">
      <w:start w:val="1"/>
      <w:numFmt w:val="decimal"/>
      <w:lvlText w:val="%1)"/>
      <w:lvlJc w:val="left"/>
      <w:pPr>
        <w:ind w:left="2028" w:hanging="510"/>
        <w:jc w:val="left"/>
      </w:pPr>
      <w:rPr>
        <w:rFonts w:hint="default" w:ascii="Times New Roman" w:hAnsi="Times New Roman" w:eastAsia="Times New Roman" w:cs="Times New Roman"/>
        <w:spacing w:val="-1"/>
        <w:w w:val="100"/>
        <w:sz w:val="24"/>
        <w:szCs w:val="24"/>
      </w:rPr>
    </w:lvl>
    <w:lvl w:ilvl="1">
      <w:start w:val="1"/>
      <w:numFmt w:val="lowerLetter"/>
      <w:lvlText w:val="%2)"/>
      <w:lvlJc w:val="left"/>
      <w:pPr>
        <w:ind w:left="2505" w:hanging="476"/>
        <w:jc w:val="left"/>
      </w:pPr>
      <w:rPr>
        <w:rFonts w:hint="default" w:ascii="Times New Roman" w:hAnsi="Times New Roman" w:eastAsia="Times New Roman" w:cs="Times New Roman"/>
        <w:spacing w:val="-1"/>
        <w:w w:val="99"/>
        <w:sz w:val="24"/>
        <w:szCs w:val="24"/>
      </w:rPr>
    </w:lvl>
    <w:lvl w:ilvl="2">
      <w:start w:val="0"/>
      <w:numFmt w:val="bullet"/>
      <w:lvlText w:val="•"/>
      <w:lvlJc w:val="left"/>
      <w:pPr>
        <w:ind w:left="2500" w:hanging="476"/>
      </w:pPr>
      <w:rPr>
        <w:rFonts w:hint="default"/>
      </w:rPr>
    </w:lvl>
    <w:lvl w:ilvl="3">
      <w:start w:val="0"/>
      <w:numFmt w:val="bullet"/>
      <w:lvlText w:val="•"/>
      <w:lvlJc w:val="left"/>
      <w:pPr>
        <w:ind w:left="3300" w:hanging="476"/>
      </w:pPr>
      <w:rPr>
        <w:rFonts w:hint="default"/>
      </w:rPr>
    </w:lvl>
    <w:lvl w:ilvl="4">
      <w:start w:val="0"/>
      <w:numFmt w:val="bullet"/>
      <w:lvlText w:val="•"/>
      <w:lvlJc w:val="left"/>
      <w:pPr>
        <w:ind w:left="4101" w:hanging="476"/>
      </w:pPr>
      <w:rPr>
        <w:rFonts w:hint="default"/>
      </w:rPr>
    </w:lvl>
    <w:lvl w:ilvl="5">
      <w:start w:val="0"/>
      <w:numFmt w:val="bullet"/>
      <w:lvlText w:val="•"/>
      <w:lvlJc w:val="left"/>
      <w:pPr>
        <w:ind w:left="4902" w:hanging="476"/>
      </w:pPr>
      <w:rPr>
        <w:rFonts w:hint="default"/>
      </w:rPr>
    </w:lvl>
    <w:lvl w:ilvl="6">
      <w:start w:val="0"/>
      <w:numFmt w:val="bullet"/>
      <w:lvlText w:val="•"/>
      <w:lvlJc w:val="left"/>
      <w:pPr>
        <w:ind w:left="5703" w:hanging="476"/>
      </w:pPr>
      <w:rPr>
        <w:rFonts w:hint="default"/>
      </w:rPr>
    </w:lvl>
    <w:lvl w:ilvl="7">
      <w:start w:val="0"/>
      <w:numFmt w:val="bullet"/>
      <w:lvlText w:val="•"/>
      <w:lvlJc w:val="left"/>
      <w:pPr>
        <w:ind w:left="6503" w:hanging="476"/>
      </w:pPr>
      <w:rPr>
        <w:rFonts w:hint="default"/>
      </w:rPr>
    </w:lvl>
    <w:lvl w:ilvl="8">
      <w:start w:val="0"/>
      <w:numFmt w:val="bullet"/>
      <w:lvlText w:val="•"/>
      <w:lvlJc w:val="left"/>
      <w:pPr>
        <w:ind w:left="7304" w:hanging="476"/>
      </w:pPr>
      <w:rPr>
        <w:rFonts w:hint="default"/>
      </w:rPr>
    </w:lvl>
  </w:abstractNum>
  <w:abstractNum w:abstractNumId="1">
    <w:multiLevelType w:val="hybridMultilevel"/>
    <w:lvl w:ilvl="0">
      <w:start w:val="0"/>
      <w:numFmt w:val="bullet"/>
      <w:lvlText w:val="–"/>
      <w:lvlJc w:val="left"/>
      <w:pPr>
        <w:ind w:left="1122" w:hanging="397"/>
      </w:pPr>
      <w:rPr>
        <w:rFonts w:hint="default" w:ascii="Times New Roman" w:hAnsi="Times New Roman" w:eastAsia="Times New Roman" w:cs="Times New Roman"/>
        <w:spacing w:val="-1"/>
        <w:w w:val="100"/>
        <w:sz w:val="24"/>
        <w:szCs w:val="24"/>
      </w:rPr>
    </w:lvl>
    <w:lvl w:ilvl="1">
      <w:start w:val="0"/>
      <w:numFmt w:val="bullet"/>
      <w:lvlText w:val="–"/>
      <w:lvlJc w:val="left"/>
      <w:pPr>
        <w:ind w:left="1301" w:hanging="180"/>
      </w:pPr>
      <w:rPr>
        <w:rFonts w:hint="default" w:ascii="Times New Roman" w:hAnsi="Times New Roman" w:eastAsia="Times New Roman" w:cs="Times New Roman"/>
        <w:spacing w:val="-23"/>
        <w:w w:val="100"/>
        <w:sz w:val="24"/>
        <w:szCs w:val="24"/>
      </w:rPr>
    </w:lvl>
    <w:lvl w:ilvl="2">
      <w:start w:val="0"/>
      <w:numFmt w:val="bullet"/>
      <w:lvlText w:val="–"/>
      <w:lvlJc w:val="left"/>
      <w:pPr>
        <w:ind w:left="1915" w:hanging="397"/>
      </w:pPr>
      <w:rPr>
        <w:rFonts w:hint="default" w:ascii="Times New Roman" w:hAnsi="Times New Roman" w:eastAsia="Times New Roman" w:cs="Times New Roman"/>
        <w:spacing w:val="-1"/>
        <w:w w:val="99"/>
        <w:sz w:val="24"/>
        <w:szCs w:val="24"/>
      </w:rPr>
    </w:lvl>
    <w:lvl w:ilvl="3">
      <w:start w:val="0"/>
      <w:numFmt w:val="bullet"/>
      <w:lvlText w:val="•"/>
      <w:lvlJc w:val="left"/>
      <w:pPr>
        <w:ind w:left="1920" w:hanging="397"/>
      </w:pPr>
      <w:rPr>
        <w:rFonts w:hint="default"/>
      </w:rPr>
    </w:lvl>
    <w:lvl w:ilvl="4">
      <w:start w:val="0"/>
      <w:numFmt w:val="bullet"/>
      <w:lvlText w:val="•"/>
      <w:lvlJc w:val="left"/>
      <w:pPr>
        <w:ind w:left="2918" w:hanging="397"/>
      </w:pPr>
      <w:rPr>
        <w:rFonts w:hint="default"/>
      </w:rPr>
    </w:lvl>
    <w:lvl w:ilvl="5">
      <w:start w:val="0"/>
      <w:numFmt w:val="bullet"/>
      <w:lvlText w:val="•"/>
      <w:lvlJc w:val="left"/>
      <w:pPr>
        <w:ind w:left="3916" w:hanging="397"/>
      </w:pPr>
      <w:rPr>
        <w:rFonts w:hint="default"/>
      </w:rPr>
    </w:lvl>
    <w:lvl w:ilvl="6">
      <w:start w:val="0"/>
      <w:numFmt w:val="bullet"/>
      <w:lvlText w:val="•"/>
      <w:lvlJc w:val="left"/>
      <w:pPr>
        <w:ind w:left="4914" w:hanging="397"/>
      </w:pPr>
      <w:rPr>
        <w:rFonts w:hint="default"/>
      </w:rPr>
    </w:lvl>
    <w:lvl w:ilvl="7">
      <w:start w:val="0"/>
      <w:numFmt w:val="bullet"/>
      <w:lvlText w:val="•"/>
      <w:lvlJc w:val="left"/>
      <w:pPr>
        <w:ind w:left="5912" w:hanging="397"/>
      </w:pPr>
      <w:rPr>
        <w:rFonts w:hint="default"/>
      </w:rPr>
    </w:lvl>
    <w:lvl w:ilvl="8">
      <w:start w:val="0"/>
      <w:numFmt w:val="bullet"/>
      <w:lvlText w:val="•"/>
      <w:lvlJc w:val="left"/>
      <w:pPr>
        <w:ind w:left="6910" w:hanging="397"/>
      </w:pPr>
      <w:rPr>
        <w:rFonts w:hint="default"/>
      </w:rPr>
    </w:lvl>
  </w:abstractNum>
  <w:abstractNum w:abstractNumId="0">
    <w:multiLevelType w:val="hybridMultilevel"/>
    <w:lvl w:ilvl="0">
      <w:start w:val="1"/>
      <w:numFmt w:val="decimal"/>
      <w:lvlText w:val="%1)"/>
      <w:lvlJc w:val="left"/>
      <w:pPr>
        <w:ind w:left="628" w:hanging="510"/>
        <w:jc w:val="left"/>
      </w:pPr>
      <w:rPr>
        <w:rFonts w:hint="default" w:ascii="Times New Roman" w:hAnsi="Times New Roman" w:eastAsia="Times New Roman" w:cs="Times New Roman"/>
        <w:spacing w:val="-1"/>
        <w:w w:val="99"/>
        <w:sz w:val="24"/>
        <w:szCs w:val="24"/>
      </w:rPr>
    </w:lvl>
    <w:lvl w:ilvl="1">
      <w:start w:val="1"/>
      <w:numFmt w:val="lowerLetter"/>
      <w:lvlText w:val="%2)"/>
      <w:lvlJc w:val="left"/>
      <w:pPr>
        <w:ind w:left="1104" w:hanging="476"/>
        <w:jc w:val="right"/>
      </w:pPr>
      <w:rPr>
        <w:rFonts w:hint="default" w:ascii="Times New Roman" w:hAnsi="Times New Roman" w:eastAsia="Times New Roman" w:cs="Times New Roman"/>
        <w:spacing w:val="-2"/>
        <w:w w:val="99"/>
        <w:sz w:val="24"/>
        <w:szCs w:val="24"/>
      </w:rPr>
    </w:lvl>
    <w:lvl w:ilvl="2">
      <w:start w:val="0"/>
      <w:numFmt w:val="bullet"/>
      <w:lvlText w:val="–"/>
      <w:lvlJc w:val="left"/>
      <w:pPr>
        <w:ind w:left="1502" w:hanging="397"/>
      </w:pPr>
      <w:rPr>
        <w:rFonts w:hint="default" w:ascii="Times New Roman" w:hAnsi="Times New Roman" w:eastAsia="Times New Roman" w:cs="Times New Roman"/>
        <w:spacing w:val="-6"/>
        <w:w w:val="100"/>
        <w:sz w:val="24"/>
        <w:szCs w:val="24"/>
      </w:rPr>
    </w:lvl>
    <w:lvl w:ilvl="3">
      <w:start w:val="0"/>
      <w:numFmt w:val="bullet"/>
      <w:lvlText w:val="•"/>
      <w:lvlJc w:val="left"/>
      <w:pPr>
        <w:ind w:left="1500" w:hanging="397"/>
      </w:pPr>
      <w:rPr>
        <w:rFonts w:hint="default"/>
      </w:rPr>
    </w:lvl>
    <w:lvl w:ilvl="4">
      <w:start w:val="0"/>
      <w:numFmt w:val="bullet"/>
      <w:lvlText w:val="•"/>
      <w:lvlJc w:val="left"/>
      <w:pPr>
        <w:ind w:left="1560" w:hanging="397"/>
      </w:pPr>
      <w:rPr>
        <w:rFonts w:hint="default"/>
      </w:rPr>
    </w:lvl>
    <w:lvl w:ilvl="5">
      <w:start w:val="0"/>
      <w:numFmt w:val="bullet"/>
      <w:lvlText w:val="•"/>
      <w:lvlJc w:val="left"/>
      <w:pPr>
        <w:ind w:left="2784" w:hanging="397"/>
      </w:pPr>
      <w:rPr>
        <w:rFonts w:hint="default"/>
      </w:rPr>
    </w:lvl>
    <w:lvl w:ilvl="6">
      <w:start w:val="0"/>
      <w:numFmt w:val="bullet"/>
      <w:lvlText w:val="•"/>
      <w:lvlJc w:val="left"/>
      <w:pPr>
        <w:ind w:left="4008" w:hanging="397"/>
      </w:pPr>
      <w:rPr>
        <w:rFonts w:hint="default"/>
      </w:rPr>
    </w:lvl>
    <w:lvl w:ilvl="7">
      <w:start w:val="0"/>
      <w:numFmt w:val="bullet"/>
      <w:lvlText w:val="•"/>
      <w:lvlJc w:val="left"/>
      <w:pPr>
        <w:ind w:left="5233" w:hanging="397"/>
      </w:pPr>
      <w:rPr>
        <w:rFonts w:hint="default"/>
      </w:rPr>
    </w:lvl>
    <w:lvl w:ilvl="8">
      <w:start w:val="0"/>
      <w:numFmt w:val="bullet"/>
      <w:lvlText w:val="•"/>
      <w:lvlJc w:val="left"/>
      <w:pPr>
        <w:ind w:left="6457" w:hanging="397"/>
      </w:pPr>
      <w:rPr>
        <w:rFonts w:hint="default"/>
      </w:rPr>
    </w:lvl>
  </w:abstractNum>
  <w:num w:numId="11">
    <w:abstractNumId w:val="10"/>
  </w:num>
  <w:num w:numId="10">
    <w:abstractNumId w:val="9"/>
  </w:num>
  <w:num w:numId="9">
    <w:abstractNumId w:val="8"/>
  </w:num>
  <w:num w:numId="8">
    <w:abstractNumId w:val="7"/>
  </w:num>
  <w:num w:numId="7">
    <w:abstractNumId w:val="6"/>
  </w:num>
  <w:num w:numId="6">
    <w:abstractNumId w:val="5"/>
  </w:num>
  <w:num w:numId="5">
    <w:abstractNumId w:val="4"/>
  </w: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Times New Roman" w:hAnsi="Times New Roman" w:eastAsia="Times New Roman" w:cs="Times New Roman"/>
    </w:rPr>
  </w:style>
  <w:style w:styleId="BodyText" w:type="paragraph">
    <w:name w:val="Body Text"/>
    <w:basedOn w:val="Normal"/>
    <w:uiPriority w:val="1"/>
    <w:qFormat/>
    <w:pPr/>
    <w:rPr>
      <w:rFonts w:ascii="Times New Roman" w:hAnsi="Times New Roman" w:eastAsia="Times New Roman" w:cs="Times New Roman"/>
      <w:sz w:val="24"/>
      <w:szCs w:val="24"/>
    </w:rPr>
  </w:style>
  <w:style w:styleId="Heading1" w:type="paragraph">
    <w:name w:val="Heading 1"/>
    <w:basedOn w:val="Normal"/>
    <w:uiPriority w:val="1"/>
    <w:qFormat/>
    <w:pPr>
      <w:spacing w:before="137"/>
      <w:ind w:left="1121"/>
      <w:outlineLvl w:val="1"/>
    </w:pPr>
    <w:rPr>
      <w:rFonts w:ascii="Times New Roman" w:hAnsi="Times New Roman" w:eastAsia="Times New Roman" w:cs="Times New Roman"/>
      <w:b/>
      <w:bCs/>
      <w:sz w:val="24"/>
      <w:szCs w:val="24"/>
    </w:rPr>
  </w:style>
  <w:style w:styleId="ListParagraph" w:type="paragraph">
    <w:name w:val="List Paragraph"/>
    <w:basedOn w:val="Normal"/>
    <w:uiPriority w:val="1"/>
    <w:qFormat/>
    <w:pPr>
      <w:spacing w:before="5"/>
      <w:ind w:left="1301" w:hanging="397"/>
    </w:pPr>
    <w:rPr>
      <w:rFonts w:ascii="Times New Roman" w:hAnsi="Times New Roman" w:eastAsia="Times New Roman" w:cs="Times New Roman"/>
    </w:rPr>
  </w:style>
  <w:style w:styleId="TableParagraph" w:type="paragraph">
    <w:name w:val="Table Paragraph"/>
    <w:basedOn w:val="Normal"/>
    <w:uiPriority w:val="1"/>
    <w:qFormat/>
    <w:pPr>
      <w:jc w:val="center"/>
    </w:pPr>
    <w:rPr>
      <w:rFonts w:ascii="Times New Roman" w:hAnsi="Times New Roman" w:eastAsia="Times New Roman" w:cs="Times New Roman"/>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header" Target="header1.xml"/><Relationship Id="rId6" Type="http://schemas.openxmlformats.org/officeDocument/2006/relationships/image" Target="media/image1.png"/><Relationship Id="rId7" Type="http://schemas.openxmlformats.org/officeDocument/2006/relationships/image" Target="media/image2.png"/><Relationship Id="rId8" Type="http://schemas.openxmlformats.org/officeDocument/2006/relationships/image" Target="media/image3.png"/><Relationship Id="rId9" Type="http://schemas.openxmlformats.org/officeDocument/2006/relationships/image" Target="media/image4.png"/><Relationship Id="rId10" Type="http://schemas.openxmlformats.org/officeDocument/2006/relationships/image" Target="media/image5.png"/><Relationship Id="rId11" Type="http://schemas.openxmlformats.org/officeDocument/2006/relationships/image" Target="media/image6.png"/><Relationship Id="rId12" Type="http://schemas.openxmlformats.org/officeDocument/2006/relationships/image" Target="media/image7.png"/><Relationship Id="rId13" Type="http://schemas.openxmlformats.org/officeDocument/2006/relationships/image" Target="media/image8.png"/><Relationship Id="rId14" Type="http://schemas.openxmlformats.org/officeDocument/2006/relationships/image" Target="media/image9.png"/><Relationship Id="rId15" Type="http://schemas.openxmlformats.org/officeDocument/2006/relationships/image" Target="media/image10.png"/><Relationship Id="rId16" Type="http://schemas.openxmlformats.org/officeDocument/2006/relationships/image" Target="media/image11.jpeg"/><Relationship Id="rId17" Type="http://schemas.openxmlformats.org/officeDocument/2006/relationships/image" Target="media/image12.jpeg"/><Relationship Id="rId18" Type="http://schemas.openxmlformats.org/officeDocument/2006/relationships/image" Target="media/image13.jpeg"/><Relationship Id="rId19" Type="http://schemas.openxmlformats.org/officeDocument/2006/relationships/image" Target="media/image14.png"/><Relationship Id="rId20" Type="http://schemas.openxmlformats.org/officeDocument/2006/relationships/image" Target="media/image15.png"/><Relationship Id="rId21" Type="http://schemas.openxmlformats.org/officeDocument/2006/relationships/image" Target="media/image16.png"/><Relationship Id="rId22" Type="http://schemas.openxmlformats.org/officeDocument/2006/relationships/image" Target="media/image17.png"/><Relationship Id="rId23" Type="http://schemas.openxmlformats.org/officeDocument/2006/relationships/image" Target="media/image18.jpeg"/><Relationship Id="rId24" Type="http://schemas.openxmlformats.org/officeDocument/2006/relationships/image" Target="media/image19.jpeg"/><Relationship Id="rId25" Type="http://schemas.openxmlformats.org/officeDocument/2006/relationships/image" Target="media/image20.jpeg"/><Relationship Id="rId26" Type="http://schemas.openxmlformats.org/officeDocument/2006/relationships/image" Target="media/image21.png"/><Relationship Id="rId27" Type="http://schemas.openxmlformats.org/officeDocument/2006/relationships/image" Target="media/image22.png"/><Relationship Id="rId28" Type="http://schemas.openxmlformats.org/officeDocument/2006/relationships/image" Target="media/image23.jpeg"/><Relationship Id="rId29" Type="http://schemas.openxmlformats.org/officeDocument/2006/relationships/image" Target="media/image24.jpeg"/><Relationship Id="rId30" Type="http://schemas.openxmlformats.org/officeDocument/2006/relationships/image" Target="media/image25.jpeg"/><Relationship Id="rId31" Type="http://schemas.openxmlformats.org/officeDocument/2006/relationships/image" Target="media/image26.jpeg"/><Relationship Id="rId32" Type="http://schemas.openxmlformats.org/officeDocument/2006/relationships/image" Target="media/image27.png"/><Relationship Id="rId33" Type="http://schemas.openxmlformats.org/officeDocument/2006/relationships/image" Target="media/image28.jpeg"/><Relationship Id="rId34" Type="http://schemas.openxmlformats.org/officeDocument/2006/relationships/image" Target="media/image29.png"/><Relationship Id="rId35" Type="http://schemas.openxmlformats.org/officeDocument/2006/relationships/image" Target="media/image30.jpeg"/><Relationship Id="rId36"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Kuczaj Grzegorz</dc:creator>
  <dc:title>Akt prawny</dc:title>
  <dcterms:created xsi:type="dcterms:W3CDTF">2025-06-16T17:57:29Z</dcterms:created>
  <dcterms:modified xsi:type="dcterms:W3CDTF">2025-06-16T17:57:29Z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2025-06-03T00:00:00Z</vt:filetime>
  </property>
  <property fmtid="{D5CDD505-2E9C-101B-9397-08002B2CF9AE}" pid="3" name="Creator">
    <vt:lpwstr>Microsoft Office Word</vt:lpwstr>
  </property>
  <property fmtid="{D5CDD505-2E9C-101B-9397-08002B2CF9AE}" pid="4" name="LastSaved">
    <vt:filetime>2025-06-16T00:00:00Z</vt:filetime>
  </property>
</Properties>
</file>