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2"/>
        <w:ind w:left="3786" w:right="3783" w:firstLine="0"/>
        <w:jc w:val="center"/>
      </w:pPr>
      <w:r>
        <w:rPr/>
        <w:t>UZASADNIENIE</w:t>
      </w:r>
    </w:p>
    <w:p>
      <w:pPr>
        <w:pStyle w:val="BodyText"/>
        <w:spacing w:before="0"/>
        <w:ind w:left="0"/>
        <w:jc w:val="left"/>
        <w:rPr>
          <w:b/>
          <w:sz w:val="26"/>
        </w:rPr>
      </w:pPr>
    </w:p>
    <w:p>
      <w:pPr>
        <w:pStyle w:val="ListParagraph"/>
        <w:numPr>
          <w:ilvl w:val="0"/>
          <w:numId w:val="1"/>
        </w:numPr>
        <w:tabs>
          <w:tab w:pos="402" w:val="left" w:leader="none"/>
        </w:tabs>
        <w:spacing w:line="240" w:lineRule="auto" w:before="217" w:after="0"/>
        <w:ind w:left="402" w:right="0" w:hanging="284"/>
        <w:jc w:val="both"/>
        <w:rPr>
          <w:b/>
          <w:sz w:val="24"/>
        </w:rPr>
      </w:pPr>
      <w:r>
        <w:rPr>
          <w:b/>
          <w:spacing w:val="3"/>
          <w:sz w:val="24"/>
        </w:rPr>
        <w:t>Potrzeba </w:t>
      </w:r>
      <w:r>
        <w:rPr>
          <w:b/>
          <w:sz w:val="24"/>
        </w:rPr>
        <w:t>i </w:t>
      </w:r>
      <w:r>
        <w:rPr>
          <w:b/>
          <w:spacing w:val="2"/>
          <w:sz w:val="24"/>
        </w:rPr>
        <w:t>cel </w:t>
      </w:r>
      <w:r>
        <w:rPr>
          <w:b/>
          <w:spacing w:val="3"/>
          <w:sz w:val="24"/>
        </w:rPr>
        <w:t>wprowadzanych</w:t>
      </w:r>
      <w:r>
        <w:rPr>
          <w:b/>
          <w:spacing w:val="46"/>
          <w:sz w:val="24"/>
        </w:rPr>
        <w:t> </w:t>
      </w:r>
      <w:r>
        <w:rPr>
          <w:b/>
          <w:spacing w:val="3"/>
          <w:sz w:val="24"/>
        </w:rPr>
        <w:t>przepisów</w:t>
      </w:r>
    </w:p>
    <w:p>
      <w:pPr>
        <w:pStyle w:val="BodyText"/>
        <w:ind w:left="118" w:right="112"/>
      </w:pPr>
      <w:r>
        <w:rPr/>
        <w:t>Projekt rozporządzenia Ministra Infrastruktury stanowi wykonanie upoważnienia ustawowego zawartego w art. 7 ust. 3 ustawy z dnia 20 czerwca 1997 r. – Prawo o ruchu drogowym (Dz. U. z 2024 r. poz. 1251), w związku z art. 27 ustawy z dnia 5 sierpnia 2022 r. o zmianie ustawy      o Rządowym Funduszu Rozwoju Dróg oraz niektórych innych ustaw (Dz. U.  poz.</w:t>
      </w:r>
      <w:r>
        <w:rPr>
          <w:spacing w:val="-26"/>
        </w:rPr>
        <w:t> </w:t>
      </w:r>
      <w:r>
        <w:rPr/>
        <w:t>1768).</w:t>
      </w:r>
    </w:p>
    <w:p>
      <w:pPr>
        <w:pStyle w:val="BodyText"/>
        <w:ind w:left="118" w:right="112"/>
      </w:pPr>
      <w:r>
        <w:rPr/>
        <w:t>Zgodnie z ww. przepisami minister właściwy do spraw transportu w porozumieniu z ministrem właściwym  do  spraw  wewnętrznych,  uwzględniając  konieczność  zapewnienia  czytelności   i zrozumiałości znaków i sygnałów drogowych dla uczestników ruchu drogowego, określają    w drodze rozporządzenia, szczegółowe warunki techniczne dla znaków i sygnałów drogowych oraz urządzeń bezpieczeństwa ruchu drogowego, a także warunki ich umieszczania na</w:t>
      </w:r>
      <w:r>
        <w:rPr>
          <w:spacing w:val="-11"/>
        </w:rPr>
        <w:t> </w:t>
      </w:r>
      <w:r>
        <w:rPr/>
        <w:t>drogach.</w:t>
      </w:r>
    </w:p>
    <w:p>
      <w:pPr>
        <w:pStyle w:val="BodyText"/>
        <w:ind w:left="118" w:right="111"/>
      </w:pPr>
      <w:r>
        <w:rPr/>
        <w:t>Zmiana rozporządzenia Ministra Infrastruktury z dnia 3 lipca 2003 r. w sprawie szczegółowych warunków</w:t>
      </w:r>
      <w:r>
        <w:rPr>
          <w:spacing w:val="-13"/>
        </w:rPr>
        <w:t> </w:t>
      </w:r>
      <w:r>
        <w:rPr/>
        <w:t>technicznych</w:t>
      </w:r>
      <w:r>
        <w:rPr>
          <w:spacing w:val="-11"/>
        </w:rPr>
        <w:t> </w:t>
      </w:r>
      <w:r>
        <w:rPr/>
        <w:t>dla</w:t>
      </w:r>
      <w:r>
        <w:rPr>
          <w:spacing w:val="-14"/>
        </w:rPr>
        <w:t> </w:t>
      </w:r>
      <w:r>
        <w:rPr/>
        <w:t>znaków</w:t>
      </w:r>
      <w:r>
        <w:rPr>
          <w:spacing w:val="-13"/>
        </w:rPr>
        <w:t> </w:t>
      </w:r>
      <w:r>
        <w:rPr/>
        <w:t>i</w:t>
      </w:r>
      <w:r>
        <w:rPr>
          <w:spacing w:val="-14"/>
        </w:rPr>
        <w:t> </w:t>
      </w:r>
      <w:r>
        <w:rPr/>
        <w:t>sygnałów</w:t>
      </w:r>
      <w:r>
        <w:rPr>
          <w:spacing w:val="-13"/>
        </w:rPr>
        <w:t> </w:t>
      </w:r>
      <w:r>
        <w:rPr/>
        <w:t>drogowych</w:t>
      </w:r>
      <w:r>
        <w:rPr>
          <w:spacing w:val="-14"/>
        </w:rPr>
        <w:t> </w:t>
      </w:r>
      <w:r>
        <w:rPr/>
        <w:t>oraz</w:t>
      </w:r>
      <w:r>
        <w:rPr>
          <w:spacing w:val="-14"/>
        </w:rPr>
        <w:t> </w:t>
      </w:r>
      <w:r>
        <w:rPr/>
        <w:t>urządzeń</w:t>
      </w:r>
      <w:r>
        <w:rPr>
          <w:spacing w:val="-13"/>
        </w:rPr>
        <w:t> </w:t>
      </w:r>
      <w:r>
        <w:rPr/>
        <w:t>bezpieczeństwa</w:t>
      </w:r>
      <w:r>
        <w:rPr>
          <w:spacing w:val="-12"/>
        </w:rPr>
        <w:t> </w:t>
      </w:r>
      <w:r>
        <w:rPr/>
        <w:t>ruchu drogowego i warunków ich umieszczania na drogach (Dz. U. z 2019 r. poz. 2311, z późn. zm.) wynika przede wszystkim z konieczności ujęcia w porządku prawnym rozwiązań stosowanych  i badanych w ramach prowadzonych projektów badawczych, realizowanych na drogach zarządzanych przez Generalnego Dyrektora Dróg Krajowych i Autostrad (GDDKiA) w latach 2014-2024. Zobowiązanie takie wynika z uchwały nr 9/2024 Krajowej Rady Bezpieczeństwa Ruchu Drogowego z dnia 9 grudnia 2024 r. w sprawie przyjęcia rekomendacji dotyczących zakończenia projektu badawczego oznakowania eksperymentalnego zlokalizowanego na autostradach i drogach ekspresowych oraz podjęcia prac legislacyjnych w tym zakresie. Zrealizowane badania wskazują na dużą zrozumiałość i czytelność nowych wzorów znaków drogowych w zakresie oznakowania</w:t>
      </w:r>
      <w:r>
        <w:rPr>
          <w:spacing w:val="-11"/>
        </w:rPr>
        <w:t> </w:t>
      </w:r>
      <w:r>
        <w:rPr/>
        <w:t>kierunkowego.</w:t>
      </w:r>
    </w:p>
    <w:p>
      <w:pPr>
        <w:pStyle w:val="BodyText"/>
        <w:ind w:left="118" w:right="113"/>
      </w:pPr>
      <w:r>
        <w:rPr/>
        <w:t>Dodatkowo konieczne jest dostosowanie przepisów do obowiązków organu właściwego do zarządzania ruchem, określonych w art. 12b ustawy z dnia 21 marca 1985 r. o drogach publicznych (Dz. U. z 2024 r. poz. 320, z późn. zm.). W dotychczasowym brzmieniu rozporządzenia pojazdy hybrydowe typu „plug-in” nie zostały uwzględnione obok pojazdów elektrycznych, przez co korzystanie z miejsc postojowych przy stacjach ładowania przez te pojazdy zgodnie z obowiązującymi przepisami nie było możliwe.</w:t>
      </w:r>
    </w:p>
    <w:p>
      <w:pPr>
        <w:pStyle w:val="BodyText"/>
        <w:spacing w:before="10"/>
        <w:ind w:left="0"/>
        <w:jc w:val="left"/>
        <w:rPr>
          <w:sz w:val="38"/>
        </w:rPr>
      </w:pPr>
    </w:p>
    <w:p>
      <w:pPr>
        <w:pStyle w:val="Heading1"/>
        <w:numPr>
          <w:ilvl w:val="0"/>
          <w:numId w:val="1"/>
        </w:numPr>
        <w:tabs>
          <w:tab w:pos="402" w:val="left" w:leader="none"/>
        </w:tabs>
        <w:spacing w:line="240" w:lineRule="auto" w:before="0" w:after="0"/>
        <w:ind w:left="402" w:right="0" w:hanging="284"/>
        <w:jc w:val="both"/>
      </w:pPr>
      <w:r>
        <w:rPr>
          <w:spacing w:val="3"/>
        </w:rPr>
        <w:t>Szczegółowe przedstawienie projektowanych</w:t>
      </w:r>
      <w:r>
        <w:rPr>
          <w:spacing w:val="49"/>
        </w:rPr>
        <w:t> </w:t>
      </w:r>
      <w:r>
        <w:rPr>
          <w:spacing w:val="3"/>
        </w:rPr>
        <w:t>przepisów</w:t>
      </w:r>
    </w:p>
    <w:p>
      <w:pPr>
        <w:pStyle w:val="ListParagraph"/>
        <w:numPr>
          <w:ilvl w:val="1"/>
          <w:numId w:val="1"/>
        </w:numPr>
        <w:tabs>
          <w:tab w:pos="427" w:val="left" w:leader="none"/>
        </w:tabs>
        <w:spacing w:line="240" w:lineRule="auto" w:before="120" w:after="0"/>
        <w:ind w:left="118" w:right="112" w:firstLine="0"/>
        <w:jc w:val="both"/>
        <w:rPr>
          <w:sz w:val="24"/>
        </w:rPr>
      </w:pPr>
      <w:r>
        <w:rPr>
          <w:sz w:val="24"/>
        </w:rPr>
        <w:t>Przedmiotowy projekt rozporządzenia określa warunki techniczne dla nowych wzorów znaków kierunku i miejscowości E-1c, E-2d, E-14 oraz E-20 i E-20a, a także warunki ich umieszczania na drogach. Nowe wzory znaków są wynikiem projektu badawczego realizowanego  przez  GDDKiA.  Jak  wynika  z  przeprowadzonych  badań,  bardziej  czytelne i zrozumiałe oznakowanie kierunkowe powoduje zmniejszenie czasu podejmowania decyzji na odcinkach wyboru kierunku jazdy, co przyczynia się do płynnego i spokojnego procesu zmiany pasów ruchu, a także do minimalizacji incydentów bezpieczeństwa. Ponadto na dłuższych odcinkach dróg oznacza to zwiększenie komfortu podróżowania, co ma z kolei wpływ na zmniejszenie poziomu zmęczenia kierowcy oraz utrzymywanie wysokiego poziomu jakości podejmowanych decyzji w trakcie pokonywania dłuższych</w:t>
      </w:r>
      <w:r>
        <w:rPr>
          <w:spacing w:val="-15"/>
          <w:sz w:val="24"/>
        </w:rPr>
        <w:t> </w:t>
      </w:r>
      <w:r>
        <w:rPr>
          <w:sz w:val="24"/>
        </w:rPr>
        <w:t>tras.</w:t>
      </w:r>
    </w:p>
    <w:p>
      <w:pPr>
        <w:spacing w:after="0" w:line="240" w:lineRule="auto"/>
        <w:jc w:val="both"/>
        <w:rPr>
          <w:sz w:val="24"/>
        </w:rPr>
        <w:sectPr>
          <w:type w:val="continuous"/>
          <w:pgSz w:w="11910" w:h="16840"/>
          <w:pgMar w:top="1580" w:bottom="280" w:left="1300" w:right="1160"/>
        </w:sectPr>
      </w:pPr>
    </w:p>
    <w:p>
      <w:pPr>
        <w:pStyle w:val="BodyText"/>
        <w:spacing w:before="0"/>
        <w:ind w:left="0"/>
        <w:jc w:val="left"/>
        <w:rPr>
          <w:sz w:val="20"/>
        </w:rPr>
      </w:pPr>
    </w:p>
    <w:p>
      <w:pPr>
        <w:pStyle w:val="BodyText"/>
        <w:spacing w:before="2"/>
        <w:ind w:left="0"/>
        <w:jc w:val="left"/>
        <w:rPr>
          <w:sz w:val="28"/>
        </w:rPr>
      </w:pPr>
    </w:p>
    <w:p>
      <w:pPr>
        <w:pStyle w:val="BodyText"/>
        <w:spacing w:before="90"/>
        <w:ind w:left="118"/>
        <w:jc w:val="left"/>
      </w:pPr>
      <w:r>
        <w:rPr/>
        <w:t>Zmiany wprowadzone w przedmiotowym projekcie w tym zakresie obejmują:</w:t>
      </w:r>
    </w:p>
    <w:p>
      <w:pPr>
        <w:pStyle w:val="ListParagraph"/>
        <w:numPr>
          <w:ilvl w:val="0"/>
          <w:numId w:val="2"/>
        </w:numPr>
        <w:tabs>
          <w:tab w:pos="475" w:val="left" w:leader="none"/>
        </w:tabs>
        <w:spacing w:line="240" w:lineRule="auto" w:before="120" w:after="0"/>
        <w:ind w:left="475" w:right="112" w:hanging="357"/>
        <w:jc w:val="both"/>
        <w:rPr>
          <w:sz w:val="24"/>
        </w:rPr>
      </w:pPr>
      <w:r>
        <w:rPr>
          <w:sz w:val="24"/>
        </w:rPr>
        <w:t>zmianę pkt 1.4.1, 6.1.1 i 9.5 w załączniku nr 1, polegającą na dopuszczeniu do stosowania grupy wielkości liter „wielkie” dla znaków kierunku i miejscowości na jezdniach głównych dróg ekspresowych. Dotychczasowe przepisy różnicowały wymagania w tym zakresie dla autostrad i dróg ekspresowych, pomimo zbliżonych funkcji tych dróg w sieci drogowej, wskazując na konieczność stosowania na drogach ekspresowych znaków z grupy wielkości liter</w:t>
      </w:r>
      <w:r>
        <w:rPr>
          <w:spacing w:val="-5"/>
          <w:sz w:val="24"/>
        </w:rPr>
        <w:t> </w:t>
      </w:r>
      <w:r>
        <w:rPr>
          <w:sz w:val="24"/>
        </w:rPr>
        <w:t>„duże”;</w:t>
      </w:r>
    </w:p>
    <w:p>
      <w:pPr>
        <w:pStyle w:val="ListParagraph"/>
        <w:numPr>
          <w:ilvl w:val="0"/>
          <w:numId w:val="2"/>
        </w:numPr>
        <w:tabs>
          <w:tab w:pos="475" w:val="left" w:leader="none"/>
        </w:tabs>
        <w:spacing w:line="240" w:lineRule="auto" w:before="120" w:after="0"/>
        <w:ind w:left="475" w:right="111" w:hanging="357"/>
        <w:jc w:val="both"/>
        <w:rPr>
          <w:sz w:val="24"/>
        </w:rPr>
      </w:pPr>
      <w:r>
        <w:rPr>
          <w:sz w:val="24"/>
        </w:rPr>
        <w:t>zmianę pkt 1.4.1, 6.1.1, 6.3.1.1, 6.4.2.2 i 9.5w załączniku nr 1, która wprowadza znak E-1c jako tablicę przeddrogowskazową stosowaną na jezdniach głównych dróg ekspresowych      i autostrad,  a  także  usuwa  wzory  znaków  E-1b.  Zmiana  ma  na  celu  uporządkowanie  i</w:t>
      </w:r>
      <w:r>
        <w:rPr>
          <w:spacing w:val="-5"/>
          <w:sz w:val="24"/>
        </w:rPr>
        <w:t> </w:t>
      </w:r>
      <w:r>
        <w:rPr>
          <w:sz w:val="24"/>
        </w:rPr>
        <w:t>jednoznaczne</w:t>
      </w:r>
      <w:r>
        <w:rPr>
          <w:spacing w:val="-14"/>
          <w:sz w:val="24"/>
        </w:rPr>
        <w:t> </w:t>
      </w:r>
      <w:r>
        <w:rPr>
          <w:sz w:val="24"/>
        </w:rPr>
        <w:t>określenie</w:t>
      </w:r>
      <w:r>
        <w:rPr>
          <w:spacing w:val="-15"/>
          <w:sz w:val="24"/>
        </w:rPr>
        <w:t> </w:t>
      </w:r>
      <w:r>
        <w:rPr>
          <w:sz w:val="24"/>
        </w:rPr>
        <w:t>zasad</w:t>
      </w:r>
      <w:r>
        <w:rPr>
          <w:spacing w:val="-15"/>
          <w:sz w:val="24"/>
        </w:rPr>
        <w:t> </w:t>
      </w:r>
      <w:r>
        <w:rPr>
          <w:sz w:val="24"/>
        </w:rPr>
        <w:t>stosowania</w:t>
      </w:r>
      <w:r>
        <w:rPr>
          <w:spacing w:val="-16"/>
          <w:sz w:val="24"/>
        </w:rPr>
        <w:t> </w:t>
      </w:r>
      <w:r>
        <w:rPr>
          <w:sz w:val="24"/>
        </w:rPr>
        <w:t>znaków,</w:t>
      </w:r>
      <w:r>
        <w:rPr>
          <w:spacing w:val="-15"/>
          <w:sz w:val="24"/>
        </w:rPr>
        <w:t> </w:t>
      </w:r>
      <w:r>
        <w:rPr>
          <w:sz w:val="24"/>
        </w:rPr>
        <w:t>które</w:t>
      </w:r>
      <w:r>
        <w:rPr>
          <w:spacing w:val="-16"/>
          <w:sz w:val="24"/>
        </w:rPr>
        <w:t> </w:t>
      </w:r>
      <w:r>
        <w:rPr>
          <w:sz w:val="24"/>
        </w:rPr>
        <w:t>zastępowane</w:t>
      </w:r>
      <w:r>
        <w:rPr>
          <w:spacing w:val="-15"/>
          <w:sz w:val="24"/>
        </w:rPr>
        <w:t> </w:t>
      </w:r>
      <w:r>
        <w:rPr>
          <w:sz w:val="24"/>
        </w:rPr>
        <w:t>są</w:t>
      </w:r>
      <w:r>
        <w:rPr>
          <w:spacing w:val="-16"/>
          <w:sz w:val="24"/>
        </w:rPr>
        <w:t> </w:t>
      </w:r>
      <w:r>
        <w:rPr>
          <w:sz w:val="24"/>
        </w:rPr>
        <w:t>ich</w:t>
      </w:r>
      <w:r>
        <w:rPr>
          <w:spacing w:val="-16"/>
          <w:sz w:val="24"/>
        </w:rPr>
        <w:t> </w:t>
      </w:r>
      <w:r>
        <w:rPr>
          <w:sz w:val="24"/>
        </w:rPr>
        <w:t>odpowiednimi kombinacjami symboli i kolorów dopuszczonych do stosowania odpowiednio na znakach E-1, E-1a i E-1c. Dotychczasowe przepisy przewidywały stosowanie na drogach ekspresowych tablice przeddrogowskazowe E-1 lub</w:t>
      </w:r>
      <w:r>
        <w:rPr>
          <w:spacing w:val="-24"/>
          <w:sz w:val="24"/>
        </w:rPr>
        <w:t> </w:t>
      </w:r>
      <w:r>
        <w:rPr>
          <w:sz w:val="24"/>
        </w:rPr>
        <w:t>E-1b;</w:t>
      </w:r>
    </w:p>
    <w:p>
      <w:pPr>
        <w:pStyle w:val="ListParagraph"/>
        <w:numPr>
          <w:ilvl w:val="0"/>
          <w:numId w:val="2"/>
        </w:numPr>
        <w:tabs>
          <w:tab w:pos="475" w:val="left" w:leader="none"/>
        </w:tabs>
        <w:spacing w:line="240" w:lineRule="auto" w:before="120" w:after="0"/>
        <w:ind w:left="475" w:right="111" w:hanging="357"/>
        <w:jc w:val="both"/>
        <w:rPr>
          <w:sz w:val="24"/>
        </w:rPr>
      </w:pPr>
      <w:r>
        <w:rPr>
          <w:sz w:val="24"/>
        </w:rPr>
        <w:t>zmianę pkt 6.3.2.1, 6.3.2.2, 6.4.2.1, 6.4.2.2 i 9.5 w załączniku nr 1, która wprowadza znak E-2d jako drogowskaz tablicowy stosowany nad jezdnią na jezdniach głównych dróg ekspresowych i autostrad. Zmiana ma na celu ujednolicenie umiejscawiania oznakowania kierunkowego w rejonie początku pasa wyłączania na drodze ekspresowej i autostradzie jedynie</w:t>
      </w:r>
      <w:r>
        <w:rPr>
          <w:spacing w:val="-12"/>
          <w:sz w:val="24"/>
        </w:rPr>
        <w:t> </w:t>
      </w:r>
      <w:r>
        <w:rPr>
          <w:sz w:val="24"/>
        </w:rPr>
        <w:t>do</w:t>
      </w:r>
      <w:r>
        <w:rPr>
          <w:spacing w:val="-13"/>
          <w:sz w:val="24"/>
        </w:rPr>
        <w:t> </w:t>
      </w:r>
      <w:r>
        <w:rPr>
          <w:sz w:val="24"/>
        </w:rPr>
        <w:t>bramownicy</w:t>
      </w:r>
      <w:r>
        <w:rPr>
          <w:spacing w:val="-13"/>
          <w:sz w:val="24"/>
        </w:rPr>
        <w:t> </w:t>
      </w:r>
      <w:r>
        <w:rPr>
          <w:sz w:val="24"/>
        </w:rPr>
        <w:t>nad</w:t>
      </w:r>
      <w:r>
        <w:rPr>
          <w:spacing w:val="-13"/>
          <w:sz w:val="24"/>
        </w:rPr>
        <w:t> </w:t>
      </w:r>
      <w:r>
        <w:rPr>
          <w:sz w:val="24"/>
        </w:rPr>
        <w:t>jezdnią,</w:t>
      </w:r>
      <w:r>
        <w:rPr>
          <w:spacing w:val="-12"/>
          <w:sz w:val="24"/>
        </w:rPr>
        <w:t> </w:t>
      </w:r>
      <w:r>
        <w:rPr>
          <w:sz w:val="24"/>
        </w:rPr>
        <w:t>a</w:t>
      </w:r>
      <w:r>
        <w:rPr>
          <w:spacing w:val="-13"/>
          <w:sz w:val="24"/>
        </w:rPr>
        <w:t> </w:t>
      </w:r>
      <w:r>
        <w:rPr>
          <w:sz w:val="24"/>
        </w:rPr>
        <w:t>tym</w:t>
      </w:r>
      <w:r>
        <w:rPr>
          <w:spacing w:val="-13"/>
          <w:sz w:val="24"/>
        </w:rPr>
        <w:t> </w:t>
      </w:r>
      <w:r>
        <w:rPr>
          <w:sz w:val="24"/>
        </w:rPr>
        <w:t>samym</w:t>
      </w:r>
      <w:r>
        <w:rPr>
          <w:spacing w:val="-13"/>
          <w:sz w:val="24"/>
        </w:rPr>
        <w:t> </w:t>
      </w:r>
      <w:r>
        <w:rPr>
          <w:sz w:val="24"/>
        </w:rPr>
        <w:t>likwidację</w:t>
      </w:r>
      <w:r>
        <w:rPr>
          <w:spacing w:val="-12"/>
          <w:sz w:val="24"/>
        </w:rPr>
        <w:t> </w:t>
      </w:r>
      <w:r>
        <w:rPr>
          <w:sz w:val="24"/>
        </w:rPr>
        <w:t>znaku</w:t>
      </w:r>
      <w:r>
        <w:rPr>
          <w:spacing w:val="-12"/>
          <w:sz w:val="24"/>
        </w:rPr>
        <w:t> </w:t>
      </w:r>
      <w:r>
        <w:rPr>
          <w:sz w:val="24"/>
        </w:rPr>
        <w:t>E-2c,</w:t>
      </w:r>
      <w:r>
        <w:rPr>
          <w:spacing w:val="-12"/>
          <w:sz w:val="24"/>
        </w:rPr>
        <w:t> </w:t>
      </w:r>
      <w:r>
        <w:rPr>
          <w:sz w:val="24"/>
        </w:rPr>
        <w:t>sytuowanego</w:t>
      </w:r>
      <w:r>
        <w:rPr>
          <w:spacing w:val="-13"/>
          <w:sz w:val="24"/>
        </w:rPr>
        <w:t> </w:t>
      </w:r>
      <w:r>
        <w:rPr>
          <w:sz w:val="24"/>
        </w:rPr>
        <w:t>obok jezdni</w:t>
      </w:r>
      <w:r>
        <w:rPr>
          <w:spacing w:val="-7"/>
          <w:sz w:val="24"/>
        </w:rPr>
        <w:t> </w:t>
      </w:r>
      <w:r>
        <w:rPr>
          <w:sz w:val="24"/>
        </w:rPr>
        <w:t>głównej</w:t>
      </w:r>
      <w:r>
        <w:rPr>
          <w:spacing w:val="-8"/>
          <w:sz w:val="24"/>
        </w:rPr>
        <w:t> </w:t>
      </w:r>
      <w:r>
        <w:rPr>
          <w:sz w:val="24"/>
        </w:rPr>
        <w:t>autostrady.</w:t>
      </w:r>
      <w:r>
        <w:rPr>
          <w:spacing w:val="-6"/>
          <w:sz w:val="24"/>
        </w:rPr>
        <w:t> </w:t>
      </w:r>
      <w:r>
        <w:rPr>
          <w:sz w:val="24"/>
        </w:rPr>
        <w:t>Dotychczasowe</w:t>
      </w:r>
      <w:r>
        <w:rPr>
          <w:spacing w:val="-8"/>
          <w:sz w:val="24"/>
        </w:rPr>
        <w:t> </w:t>
      </w:r>
      <w:r>
        <w:rPr>
          <w:sz w:val="24"/>
        </w:rPr>
        <w:t>przepisy</w:t>
      </w:r>
      <w:r>
        <w:rPr>
          <w:spacing w:val="-8"/>
          <w:sz w:val="24"/>
        </w:rPr>
        <w:t> </w:t>
      </w:r>
      <w:r>
        <w:rPr>
          <w:sz w:val="24"/>
        </w:rPr>
        <w:t>przewidywały</w:t>
      </w:r>
      <w:r>
        <w:rPr>
          <w:spacing w:val="-7"/>
          <w:sz w:val="24"/>
        </w:rPr>
        <w:t> </w:t>
      </w:r>
      <w:r>
        <w:rPr>
          <w:sz w:val="24"/>
        </w:rPr>
        <w:t>stosowanie</w:t>
      </w:r>
      <w:r>
        <w:rPr>
          <w:spacing w:val="-8"/>
          <w:sz w:val="24"/>
        </w:rPr>
        <w:t> </w:t>
      </w:r>
      <w:r>
        <w:rPr>
          <w:sz w:val="24"/>
        </w:rPr>
        <w:t>drogowskazu E-2d jedynie na jezdni głównej autostrady, zaś nad jezdnią główną dróg ekspresowych stosowano drogowskazy E-2b (lub E-2f), a obok jezdni E-2a (lub</w:t>
      </w:r>
      <w:r>
        <w:rPr>
          <w:spacing w:val="-31"/>
          <w:sz w:val="24"/>
        </w:rPr>
        <w:t> </w:t>
      </w:r>
      <w:r>
        <w:rPr>
          <w:sz w:val="24"/>
        </w:rPr>
        <w:t>E-2e);</w:t>
      </w:r>
    </w:p>
    <w:p>
      <w:pPr>
        <w:pStyle w:val="ListParagraph"/>
        <w:numPr>
          <w:ilvl w:val="0"/>
          <w:numId w:val="2"/>
        </w:numPr>
        <w:tabs>
          <w:tab w:pos="475" w:val="left" w:leader="none"/>
        </w:tabs>
        <w:spacing w:line="240" w:lineRule="auto" w:before="120" w:after="0"/>
        <w:ind w:left="475" w:right="112" w:hanging="357"/>
        <w:jc w:val="both"/>
        <w:rPr>
          <w:sz w:val="24"/>
        </w:rPr>
      </w:pPr>
      <w:r>
        <w:rPr>
          <w:sz w:val="24"/>
        </w:rPr>
        <w:t>zmianę pkt 6.3.2.1, 6.3.2.2, 6.4.2.2 i 9.5 w załączniku nr 1, która usuwa wzory znaków E-2e i E-2f. Zmiana ma na celu uporządkowanie i jednoznaczne określenie zasad stosowania znaków, które zastępowane są odpowiednimi kombinacjami symboli i kolorów dopuszczonych do stosowania odpowiednio na</w:t>
      </w:r>
      <w:r>
        <w:rPr>
          <w:spacing w:val="-21"/>
          <w:sz w:val="24"/>
        </w:rPr>
        <w:t> </w:t>
      </w:r>
      <w:r>
        <w:rPr>
          <w:sz w:val="24"/>
        </w:rPr>
        <w:t>znakach:</w:t>
      </w:r>
    </w:p>
    <w:p>
      <w:pPr>
        <w:pStyle w:val="ListParagraph"/>
        <w:numPr>
          <w:ilvl w:val="1"/>
          <w:numId w:val="2"/>
        </w:numPr>
        <w:tabs>
          <w:tab w:pos="832" w:val="left" w:leader="none"/>
        </w:tabs>
        <w:spacing w:line="294" w:lineRule="exact" w:before="0" w:after="0"/>
        <w:ind w:left="832" w:right="0" w:hanging="357"/>
        <w:jc w:val="both"/>
        <w:rPr>
          <w:sz w:val="24"/>
        </w:rPr>
      </w:pPr>
      <w:r>
        <w:rPr>
          <w:sz w:val="24"/>
        </w:rPr>
        <w:t>dla E-2e – na znakach E-2a lub</w:t>
      </w:r>
      <w:r>
        <w:rPr>
          <w:spacing w:val="-19"/>
          <w:sz w:val="24"/>
        </w:rPr>
        <w:t> </w:t>
      </w:r>
      <w:r>
        <w:rPr>
          <w:sz w:val="24"/>
        </w:rPr>
        <w:t>E-2d;</w:t>
      </w:r>
    </w:p>
    <w:p>
      <w:pPr>
        <w:pStyle w:val="ListParagraph"/>
        <w:numPr>
          <w:ilvl w:val="1"/>
          <w:numId w:val="2"/>
        </w:numPr>
        <w:tabs>
          <w:tab w:pos="832" w:val="left" w:leader="none"/>
        </w:tabs>
        <w:spacing w:line="294" w:lineRule="exact" w:before="0" w:after="0"/>
        <w:ind w:left="832" w:right="0" w:hanging="357"/>
        <w:jc w:val="both"/>
        <w:rPr>
          <w:sz w:val="24"/>
        </w:rPr>
      </w:pPr>
      <w:r>
        <w:rPr>
          <w:sz w:val="24"/>
        </w:rPr>
        <w:t>dla E-2f – na znakach E-2b,</w:t>
      </w:r>
      <w:r>
        <w:rPr>
          <w:spacing w:val="-18"/>
          <w:sz w:val="24"/>
        </w:rPr>
        <w:t> </w:t>
      </w:r>
      <w:r>
        <w:rPr>
          <w:sz w:val="24"/>
        </w:rPr>
        <w:t>E-2d;</w:t>
      </w:r>
    </w:p>
    <w:p>
      <w:pPr>
        <w:pStyle w:val="ListParagraph"/>
        <w:numPr>
          <w:ilvl w:val="0"/>
          <w:numId w:val="2"/>
        </w:numPr>
        <w:tabs>
          <w:tab w:pos="475" w:val="left" w:leader="none"/>
        </w:tabs>
        <w:spacing w:line="240" w:lineRule="auto" w:before="119" w:after="0"/>
        <w:ind w:left="475" w:right="0" w:hanging="357"/>
        <w:jc w:val="left"/>
        <w:rPr>
          <w:sz w:val="24"/>
        </w:rPr>
      </w:pPr>
      <w:r>
        <w:rPr>
          <w:sz w:val="24"/>
        </w:rPr>
        <w:t>zmianę pkt 6.3.6.1, 6.3.6.2, 6.3.6.4 i 9.5 w załączniku nr 1, która zmienia wzór znaku  </w:t>
      </w:r>
      <w:r>
        <w:rPr>
          <w:spacing w:val="3"/>
          <w:sz w:val="24"/>
        </w:rPr>
        <w:t> </w:t>
      </w:r>
      <w:r>
        <w:rPr>
          <w:sz w:val="24"/>
        </w:rPr>
        <w:t>E-14</w:t>
      </w:r>
    </w:p>
    <w:p>
      <w:pPr>
        <w:pStyle w:val="BodyText"/>
        <w:spacing w:before="0"/>
        <w:ind w:right="111"/>
      </w:pPr>
      <w:r>
        <w:rPr/>
        <w:t>„tablica szlaku drogowego” stosowanego na drogach ekspresowych i autostradach, poprzez dodanie symbolu i numeru najbliższego węzła oraz odległości do niego. Zmiana</w:t>
      </w:r>
      <w:r>
        <w:rPr>
          <w:spacing w:val="-41"/>
        </w:rPr>
        <w:t> </w:t>
      </w:r>
      <w:r>
        <w:rPr/>
        <w:t>wprowadza możliwość wskazania na znaku E-14 odległości do najbliższego węzła o określonym numerze. Jednocześnie zmiana usuwa wzór znaku E-14a, co ma na celu uporządkowanie      i jednoznaczne określenie zasad stosowania znaku, który zastępowany jest odpowiednią kombinacją</w:t>
      </w:r>
      <w:r>
        <w:rPr>
          <w:spacing w:val="-17"/>
        </w:rPr>
        <w:t> </w:t>
      </w:r>
      <w:r>
        <w:rPr/>
        <w:t>symboli</w:t>
      </w:r>
      <w:r>
        <w:rPr>
          <w:spacing w:val="-18"/>
        </w:rPr>
        <w:t> </w:t>
      </w:r>
      <w:r>
        <w:rPr/>
        <w:t>i</w:t>
      </w:r>
      <w:r>
        <w:rPr>
          <w:spacing w:val="-18"/>
        </w:rPr>
        <w:t> </w:t>
      </w:r>
      <w:r>
        <w:rPr/>
        <w:t>kolorów</w:t>
      </w:r>
      <w:r>
        <w:rPr>
          <w:spacing w:val="-18"/>
        </w:rPr>
        <w:t> </w:t>
      </w:r>
      <w:r>
        <w:rPr/>
        <w:t>dopuszczonych</w:t>
      </w:r>
      <w:r>
        <w:rPr>
          <w:spacing w:val="-18"/>
        </w:rPr>
        <w:t> </w:t>
      </w:r>
      <w:r>
        <w:rPr/>
        <w:t>do</w:t>
      </w:r>
      <w:r>
        <w:rPr>
          <w:spacing w:val="-18"/>
        </w:rPr>
        <w:t> </w:t>
      </w:r>
      <w:r>
        <w:rPr/>
        <w:t>stosowania</w:t>
      </w:r>
      <w:r>
        <w:rPr>
          <w:spacing w:val="-18"/>
        </w:rPr>
        <w:t> </w:t>
      </w:r>
      <w:r>
        <w:rPr/>
        <w:t>na</w:t>
      </w:r>
      <w:r>
        <w:rPr>
          <w:spacing w:val="-18"/>
        </w:rPr>
        <w:t> </w:t>
      </w:r>
      <w:r>
        <w:rPr/>
        <w:t>znaku</w:t>
      </w:r>
      <w:r>
        <w:rPr>
          <w:spacing w:val="-17"/>
        </w:rPr>
        <w:t> </w:t>
      </w:r>
      <w:r>
        <w:rPr/>
        <w:t>E-14.</w:t>
      </w:r>
      <w:r>
        <w:rPr>
          <w:spacing w:val="-17"/>
        </w:rPr>
        <w:t> </w:t>
      </w:r>
      <w:r>
        <w:rPr/>
        <w:t>Dotychczasowe przepisy nie pozwalały na umieszczanie informacji o odległości do najbliższego węzła</w:t>
      </w:r>
      <w:r>
        <w:rPr>
          <w:spacing w:val="-39"/>
        </w:rPr>
        <w:t> </w:t>
      </w:r>
      <w:r>
        <w:rPr/>
        <w:t>drogi ekspresowej lub autostrady na tablicy szlaku</w:t>
      </w:r>
      <w:r>
        <w:rPr>
          <w:spacing w:val="-29"/>
        </w:rPr>
        <w:t> </w:t>
      </w:r>
      <w:r>
        <w:rPr/>
        <w:t>drogowego;</w:t>
      </w:r>
    </w:p>
    <w:p>
      <w:pPr>
        <w:pStyle w:val="BodyText"/>
        <w:ind w:right="112" w:hanging="357"/>
      </w:pPr>
      <w:r>
        <w:rPr/>
        <w:t>6) zmianę pkt 1.4.1, 6.1.1, 6.3.11, 6.4.2.1, 6.4.2.2 i 9.5 w załączniku nr 1, która wprowadza nowy wzór znaku E-20 „tablica węzła drogowego”, uwzględniający numer węzła na autostradach i drogach ekspresowych oraz rozszerza katalog dróg, na których stosuje się znaki E-20, o drogi ogólnodostępne (np. obwodnice miast). Przewiduje ona również możliwość innej lokalizacji znaku E-20 niż 3000 m przed początkiem pasa wyłączania;</w:t>
      </w:r>
    </w:p>
    <w:p>
      <w:pPr>
        <w:pStyle w:val="BodyText"/>
        <w:ind w:left="118"/>
        <w:jc w:val="left"/>
      </w:pPr>
      <w:r>
        <w:rPr/>
        <w:t>7)   zmianę pkt 1.4.1, 6.1.1, 6.3.1.1, 6.3.2.1, 6.3.2.2, 6.3.2.3, 6.4.2.1, 6.4.2.2 i 9.5 oraz  </w:t>
      </w:r>
      <w:r>
        <w:rPr>
          <w:spacing w:val="52"/>
        </w:rPr>
        <w:t> </w:t>
      </w:r>
      <w:r>
        <w:rPr/>
        <w:t>dodanie</w:t>
      </w:r>
    </w:p>
    <w:p>
      <w:pPr>
        <w:pStyle w:val="BodyText"/>
        <w:spacing w:before="0"/>
        <w:ind w:right="113"/>
      </w:pPr>
      <w:r>
        <w:rPr/>
        <w:t>pkt 6.3.11a w załączniku nr 1, która wprowadza znak E-20a „numer zjazdu na autostradzie  i drodze ekspresowej” umieszczany razem z innymi znakami. Znak ten, razem ze  </w:t>
      </w:r>
      <w:r>
        <w:rPr>
          <w:spacing w:val="25"/>
        </w:rPr>
        <w:t> </w:t>
      </w:r>
      <w:r>
        <w:rPr/>
        <w:t>znakami</w:t>
      </w:r>
    </w:p>
    <w:p>
      <w:pPr>
        <w:spacing w:after="0"/>
        <w:sectPr>
          <w:headerReference w:type="default" r:id="rId5"/>
          <w:pgSz w:w="11910" w:h="16840"/>
          <w:pgMar w:header="716" w:footer="0" w:top="900" w:bottom="280" w:left="1300" w:right="1160"/>
          <w:pgNumType w:start="2"/>
        </w:sectPr>
      </w:pPr>
    </w:p>
    <w:p>
      <w:pPr>
        <w:pStyle w:val="BodyText"/>
        <w:spacing w:before="0"/>
        <w:ind w:left="0"/>
        <w:jc w:val="left"/>
        <w:rPr>
          <w:sz w:val="20"/>
        </w:rPr>
      </w:pPr>
    </w:p>
    <w:p>
      <w:pPr>
        <w:pStyle w:val="BodyText"/>
        <w:spacing w:before="2"/>
        <w:ind w:left="0"/>
        <w:jc w:val="left"/>
        <w:rPr>
          <w:sz w:val="28"/>
        </w:rPr>
      </w:pPr>
    </w:p>
    <w:p>
      <w:pPr>
        <w:pStyle w:val="BodyText"/>
        <w:spacing w:before="90"/>
        <w:ind w:right="112"/>
      </w:pPr>
      <w:r>
        <w:rPr/>
        <w:t>E-14 i E-20, umożliwia kompleksowe oznakowanie dróg ekspresowych i autostrad w zakresie numeracji węzłów na tych drogach.</w:t>
      </w:r>
    </w:p>
    <w:p>
      <w:pPr>
        <w:pStyle w:val="BodyText"/>
        <w:ind w:left="117" w:right="112"/>
      </w:pPr>
      <w:r>
        <w:rPr/>
        <w:t>Dodatkowo, z uwagi na poprawę czytelności oraz ograniczenie możliwości wieloznacznej interpretacji przepisów, wprowadzono zmiany redakcyjne w części 6 w załączniku nr 1 „Znaki kierunku i miejscowości”. Dzięki temu możliwe będzie spójne i jednolite stosowanie przepisów w tym zakresie.</w:t>
      </w:r>
    </w:p>
    <w:p>
      <w:pPr>
        <w:pStyle w:val="BodyText"/>
        <w:spacing w:before="0"/>
        <w:ind w:left="0"/>
        <w:jc w:val="left"/>
        <w:rPr>
          <w:sz w:val="26"/>
        </w:rPr>
      </w:pPr>
    </w:p>
    <w:p>
      <w:pPr>
        <w:pStyle w:val="ListParagraph"/>
        <w:numPr>
          <w:ilvl w:val="1"/>
          <w:numId w:val="1"/>
        </w:numPr>
        <w:tabs>
          <w:tab w:pos="344" w:val="left" w:leader="none"/>
        </w:tabs>
        <w:spacing w:line="240" w:lineRule="auto" w:before="217" w:after="0"/>
        <w:ind w:left="118" w:right="113" w:firstLine="0"/>
        <w:jc w:val="both"/>
        <w:rPr>
          <w:sz w:val="24"/>
        </w:rPr>
      </w:pPr>
      <w:r>
        <w:rPr>
          <w:sz w:val="24"/>
        </w:rPr>
        <w:t>Postulaty,</w:t>
      </w:r>
      <w:r>
        <w:rPr>
          <w:spacing w:val="-17"/>
          <w:sz w:val="24"/>
        </w:rPr>
        <w:t> </w:t>
      </w:r>
      <w:r>
        <w:rPr>
          <w:sz w:val="24"/>
        </w:rPr>
        <w:t>wnioski</w:t>
      </w:r>
      <w:r>
        <w:rPr>
          <w:spacing w:val="-18"/>
          <w:sz w:val="24"/>
        </w:rPr>
        <w:t> </w:t>
      </w:r>
      <w:r>
        <w:rPr>
          <w:sz w:val="24"/>
        </w:rPr>
        <w:t>oraz</w:t>
      </w:r>
      <w:r>
        <w:rPr>
          <w:spacing w:val="-18"/>
          <w:sz w:val="24"/>
        </w:rPr>
        <w:t> </w:t>
      </w:r>
      <w:r>
        <w:rPr>
          <w:sz w:val="24"/>
        </w:rPr>
        <w:t>petycje</w:t>
      </w:r>
      <w:r>
        <w:rPr>
          <w:spacing w:val="-18"/>
          <w:sz w:val="24"/>
        </w:rPr>
        <w:t> </w:t>
      </w:r>
      <w:r>
        <w:rPr>
          <w:sz w:val="24"/>
        </w:rPr>
        <w:t>wpływające</w:t>
      </w:r>
      <w:r>
        <w:rPr>
          <w:spacing w:val="-17"/>
          <w:sz w:val="24"/>
        </w:rPr>
        <w:t> </w:t>
      </w:r>
      <w:r>
        <w:rPr>
          <w:sz w:val="24"/>
        </w:rPr>
        <w:t>do</w:t>
      </w:r>
      <w:r>
        <w:rPr>
          <w:spacing w:val="-18"/>
          <w:sz w:val="24"/>
        </w:rPr>
        <w:t> </w:t>
      </w:r>
      <w:r>
        <w:rPr>
          <w:sz w:val="24"/>
        </w:rPr>
        <w:t>Ministerstwa</w:t>
      </w:r>
      <w:r>
        <w:rPr>
          <w:spacing w:val="-17"/>
          <w:sz w:val="24"/>
        </w:rPr>
        <w:t> </w:t>
      </w:r>
      <w:r>
        <w:rPr>
          <w:sz w:val="24"/>
        </w:rPr>
        <w:t>Infrastruktury</w:t>
      </w:r>
      <w:r>
        <w:rPr>
          <w:spacing w:val="-18"/>
          <w:sz w:val="24"/>
        </w:rPr>
        <w:t> </w:t>
      </w:r>
      <w:r>
        <w:rPr>
          <w:sz w:val="24"/>
        </w:rPr>
        <w:t>wskazywały</w:t>
      </w:r>
      <w:r>
        <w:rPr>
          <w:spacing w:val="-17"/>
          <w:sz w:val="24"/>
        </w:rPr>
        <w:t> </w:t>
      </w:r>
      <w:r>
        <w:rPr>
          <w:sz w:val="24"/>
        </w:rPr>
        <w:t>często na problem nadmiarowości oznakowania, przekładającej się na deprecjację znaków drogowych i utratę zaufania kierowców do organizacji ruchu, a także na konieczność poprawy bezpieczeństwa ruchu, w szczególności na odcinkach, na których prowadzone są roboty drogowe. W związku z czym wprowadzono zmiany pozwalające na stosowanie nowych rozwiązań w czasowej organizacji ruchu, zwiększających poziom bezpieczeństwa ruchu drogowego oraz ograniczenie liczby znaków poprawiające czytelność organizacji ruchu na drogach – w następującym</w:t>
      </w:r>
      <w:r>
        <w:rPr>
          <w:spacing w:val="-13"/>
          <w:sz w:val="24"/>
        </w:rPr>
        <w:t> </w:t>
      </w:r>
      <w:r>
        <w:rPr>
          <w:sz w:val="24"/>
        </w:rPr>
        <w:t>zakresie:</w:t>
      </w:r>
    </w:p>
    <w:p>
      <w:pPr>
        <w:pStyle w:val="ListParagraph"/>
        <w:numPr>
          <w:ilvl w:val="0"/>
          <w:numId w:val="3"/>
        </w:numPr>
        <w:tabs>
          <w:tab w:pos="475" w:val="left" w:leader="none"/>
        </w:tabs>
        <w:spacing w:line="240" w:lineRule="auto" w:before="120" w:after="0"/>
        <w:ind w:left="475" w:right="0" w:hanging="357"/>
        <w:jc w:val="both"/>
        <w:rPr>
          <w:sz w:val="24"/>
        </w:rPr>
      </w:pPr>
      <w:r>
        <w:rPr>
          <w:sz w:val="24"/>
        </w:rPr>
        <w:t>zmianę brzmienia pkt 2.2.9 w załączniku nr 1 poprzez ograniczenie stosowania znaku  </w:t>
      </w:r>
      <w:r>
        <w:rPr>
          <w:spacing w:val="43"/>
          <w:sz w:val="24"/>
        </w:rPr>
        <w:t> </w:t>
      </w:r>
      <w:r>
        <w:rPr>
          <w:sz w:val="24"/>
        </w:rPr>
        <w:t>A-8</w:t>
      </w:r>
    </w:p>
    <w:p>
      <w:pPr>
        <w:pStyle w:val="BodyText"/>
        <w:spacing w:before="0"/>
        <w:ind w:right="113"/>
      </w:pPr>
      <w:r>
        <w:rPr/>
        <w:t>„Skrzyżowanie o ruchu okrężnym”. Dotychczasowy obowiązek stosowania znaku A-8 głównie poza obszarami zabudowanymi, a na obszarach zabudowanych wtedy, gdy skrzyżowanie z ruchem okrężnym występuje na drodze oznakowanej wcześniej jako droga  z pierwszeństwem i nie jest widoczne z dostatecznej odległości ograniczono jedynie do skrzyżowań na drodze oznakowanej wcześniej jako droga z pierwszeństwem, które nie są widoczne z dostatecznej odległości. Dodatkowo wskazano, że znaku A-8 można nie stosować, gdy zastosowano tablicę E-1. Obrazuje ona schematyczny plan skrzyżowania, przez co kierujący pojazdem zostaje poinformowany, że zbliża się do skrzyżowania o ruchu okrężnym;</w:t>
      </w:r>
    </w:p>
    <w:p>
      <w:pPr>
        <w:pStyle w:val="ListParagraph"/>
        <w:numPr>
          <w:ilvl w:val="0"/>
          <w:numId w:val="3"/>
        </w:numPr>
        <w:tabs>
          <w:tab w:pos="475" w:val="left" w:leader="none"/>
        </w:tabs>
        <w:spacing w:line="240" w:lineRule="auto" w:before="120" w:after="0"/>
        <w:ind w:left="475" w:right="113" w:hanging="357"/>
        <w:jc w:val="both"/>
        <w:rPr>
          <w:sz w:val="24"/>
        </w:rPr>
      </w:pPr>
      <w:r>
        <w:rPr>
          <w:sz w:val="24"/>
        </w:rPr>
        <w:t>zmianę</w:t>
      </w:r>
      <w:r>
        <w:rPr>
          <w:spacing w:val="-6"/>
          <w:sz w:val="24"/>
        </w:rPr>
        <w:t> </w:t>
      </w:r>
      <w:r>
        <w:rPr>
          <w:sz w:val="24"/>
        </w:rPr>
        <w:t>brzmienia</w:t>
      </w:r>
      <w:r>
        <w:rPr>
          <w:spacing w:val="-7"/>
          <w:sz w:val="24"/>
        </w:rPr>
        <w:t> </w:t>
      </w:r>
      <w:r>
        <w:rPr>
          <w:sz w:val="24"/>
        </w:rPr>
        <w:t>pkt</w:t>
      </w:r>
      <w:r>
        <w:rPr>
          <w:spacing w:val="-7"/>
          <w:sz w:val="24"/>
        </w:rPr>
        <w:t> </w:t>
      </w:r>
      <w:r>
        <w:rPr>
          <w:sz w:val="24"/>
        </w:rPr>
        <w:t>2.2.13</w:t>
      </w:r>
      <w:r>
        <w:rPr>
          <w:spacing w:val="-7"/>
          <w:sz w:val="24"/>
        </w:rPr>
        <w:t> </w:t>
      </w:r>
      <w:r>
        <w:rPr>
          <w:sz w:val="24"/>
        </w:rPr>
        <w:t>w</w:t>
      </w:r>
      <w:r>
        <w:rPr>
          <w:spacing w:val="-7"/>
          <w:sz w:val="24"/>
        </w:rPr>
        <w:t> </w:t>
      </w:r>
      <w:r>
        <w:rPr>
          <w:sz w:val="24"/>
        </w:rPr>
        <w:t>załączniku</w:t>
      </w:r>
      <w:r>
        <w:rPr>
          <w:spacing w:val="-5"/>
          <w:sz w:val="24"/>
        </w:rPr>
        <w:t> </w:t>
      </w:r>
      <w:r>
        <w:rPr>
          <w:sz w:val="24"/>
        </w:rPr>
        <w:t>nr</w:t>
      </w:r>
      <w:r>
        <w:rPr>
          <w:spacing w:val="-7"/>
          <w:sz w:val="24"/>
        </w:rPr>
        <w:t> </w:t>
      </w:r>
      <w:r>
        <w:rPr>
          <w:sz w:val="24"/>
        </w:rPr>
        <w:t>1</w:t>
      </w:r>
      <w:r>
        <w:rPr>
          <w:spacing w:val="-7"/>
          <w:sz w:val="24"/>
        </w:rPr>
        <w:t> </w:t>
      </w:r>
      <w:r>
        <w:rPr>
          <w:sz w:val="24"/>
        </w:rPr>
        <w:t>oraz</w:t>
      </w:r>
      <w:r>
        <w:rPr>
          <w:spacing w:val="-7"/>
          <w:sz w:val="24"/>
        </w:rPr>
        <w:t> </w:t>
      </w:r>
      <w:r>
        <w:rPr>
          <w:sz w:val="24"/>
        </w:rPr>
        <w:t>pkt</w:t>
      </w:r>
      <w:r>
        <w:rPr>
          <w:spacing w:val="-7"/>
          <w:sz w:val="24"/>
        </w:rPr>
        <w:t> </w:t>
      </w:r>
      <w:r>
        <w:rPr>
          <w:sz w:val="24"/>
        </w:rPr>
        <w:t>8.1</w:t>
      </w:r>
      <w:r>
        <w:rPr>
          <w:spacing w:val="-7"/>
          <w:sz w:val="24"/>
        </w:rPr>
        <w:t> </w:t>
      </w:r>
      <w:r>
        <w:rPr>
          <w:sz w:val="24"/>
        </w:rPr>
        <w:t>w</w:t>
      </w:r>
      <w:r>
        <w:rPr>
          <w:spacing w:val="-7"/>
          <w:sz w:val="24"/>
        </w:rPr>
        <w:t> </w:t>
      </w:r>
      <w:r>
        <w:rPr>
          <w:sz w:val="24"/>
        </w:rPr>
        <w:t>załączniku</w:t>
      </w:r>
      <w:r>
        <w:rPr>
          <w:spacing w:val="-5"/>
          <w:sz w:val="24"/>
        </w:rPr>
        <w:t> </w:t>
      </w:r>
      <w:r>
        <w:rPr>
          <w:sz w:val="24"/>
        </w:rPr>
        <w:t>nr</w:t>
      </w:r>
      <w:r>
        <w:rPr>
          <w:spacing w:val="-7"/>
          <w:sz w:val="24"/>
        </w:rPr>
        <w:t> </w:t>
      </w:r>
      <w:r>
        <w:rPr>
          <w:sz w:val="24"/>
        </w:rPr>
        <w:t>4</w:t>
      </w:r>
      <w:r>
        <w:rPr>
          <w:spacing w:val="-7"/>
          <w:sz w:val="24"/>
        </w:rPr>
        <w:t> </w:t>
      </w:r>
      <w:r>
        <w:rPr>
          <w:sz w:val="24"/>
        </w:rPr>
        <w:t>mającą</w:t>
      </w:r>
      <w:r>
        <w:rPr>
          <w:spacing w:val="-5"/>
          <w:sz w:val="24"/>
        </w:rPr>
        <w:t> </w:t>
      </w:r>
      <w:r>
        <w:rPr>
          <w:sz w:val="24"/>
        </w:rPr>
        <w:t>na</w:t>
      </w:r>
      <w:r>
        <w:rPr>
          <w:spacing w:val="-7"/>
          <w:sz w:val="24"/>
        </w:rPr>
        <w:t> </w:t>
      </w:r>
      <w:r>
        <w:rPr>
          <w:sz w:val="24"/>
        </w:rPr>
        <w:t>celu ujednolicenie przepisów dotyczących stosowania znaku A-11a „Próg zwalniający”. Zmiany te</w:t>
      </w:r>
      <w:r>
        <w:rPr>
          <w:spacing w:val="-8"/>
          <w:sz w:val="24"/>
        </w:rPr>
        <w:t> </w:t>
      </w:r>
      <w:r>
        <w:rPr>
          <w:sz w:val="24"/>
        </w:rPr>
        <w:t>pozwalają</w:t>
      </w:r>
      <w:r>
        <w:rPr>
          <w:spacing w:val="-7"/>
          <w:sz w:val="24"/>
        </w:rPr>
        <w:t> </w:t>
      </w:r>
      <w:r>
        <w:rPr>
          <w:sz w:val="24"/>
        </w:rPr>
        <w:t>na</w:t>
      </w:r>
      <w:r>
        <w:rPr>
          <w:spacing w:val="-8"/>
          <w:sz w:val="24"/>
        </w:rPr>
        <w:t> </w:t>
      </w:r>
      <w:r>
        <w:rPr>
          <w:sz w:val="24"/>
        </w:rPr>
        <w:t>eliminację</w:t>
      </w:r>
      <w:r>
        <w:rPr>
          <w:spacing w:val="-6"/>
          <w:sz w:val="24"/>
        </w:rPr>
        <w:t> </w:t>
      </w:r>
      <w:r>
        <w:rPr>
          <w:sz w:val="24"/>
        </w:rPr>
        <w:t>dotychczasowych</w:t>
      </w:r>
      <w:r>
        <w:rPr>
          <w:spacing w:val="-8"/>
          <w:sz w:val="24"/>
        </w:rPr>
        <w:t> </w:t>
      </w:r>
      <w:r>
        <w:rPr>
          <w:sz w:val="24"/>
        </w:rPr>
        <w:t>rozbieżności</w:t>
      </w:r>
      <w:r>
        <w:rPr>
          <w:spacing w:val="-7"/>
          <w:sz w:val="24"/>
        </w:rPr>
        <w:t> </w:t>
      </w:r>
      <w:r>
        <w:rPr>
          <w:sz w:val="24"/>
        </w:rPr>
        <w:t>występujących</w:t>
      </w:r>
      <w:r>
        <w:rPr>
          <w:spacing w:val="-7"/>
          <w:sz w:val="24"/>
        </w:rPr>
        <w:t> </w:t>
      </w:r>
      <w:r>
        <w:rPr>
          <w:sz w:val="24"/>
        </w:rPr>
        <w:t>w</w:t>
      </w:r>
      <w:r>
        <w:rPr>
          <w:spacing w:val="-8"/>
          <w:sz w:val="24"/>
        </w:rPr>
        <w:t> </w:t>
      </w:r>
      <w:r>
        <w:rPr>
          <w:sz w:val="24"/>
        </w:rPr>
        <w:t>rozporządzeniu, wskazujących na obowiązek oraz możliwość nie stosowania znaku A-11a. Dodatkowo zmienione przepisy są spójne z nowym brzmieniem pkt 3.2.44 w załączniku nr 1. Poprzez wskazanie wartości, do jakich ogranicza się prędkość na znaku B-43, wyeliminowano rozbieżności występujące w wymienionych punktach, dotyczące możliwości podawania na znaku wartości mniejszej niż 30</w:t>
      </w:r>
      <w:r>
        <w:rPr>
          <w:spacing w:val="-14"/>
          <w:sz w:val="24"/>
        </w:rPr>
        <w:t> </w:t>
      </w:r>
      <w:r>
        <w:rPr>
          <w:sz w:val="24"/>
        </w:rPr>
        <w:t>km/h;</w:t>
      </w:r>
    </w:p>
    <w:p>
      <w:pPr>
        <w:pStyle w:val="ListParagraph"/>
        <w:numPr>
          <w:ilvl w:val="0"/>
          <w:numId w:val="3"/>
        </w:numPr>
        <w:tabs>
          <w:tab w:pos="475" w:val="left" w:leader="none"/>
        </w:tabs>
        <w:spacing w:line="240" w:lineRule="auto" w:before="120" w:after="0"/>
        <w:ind w:left="475" w:right="112" w:hanging="357"/>
        <w:jc w:val="both"/>
        <w:rPr>
          <w:sz w:val="24"/>
        </w:rPr>
      </w:pPr>
      <w:r>
        <w:rPr>
          <w:sz w:val="24"/>
        </w:rPr>
        <w:t>zmianę brzmienia pkt 2.2.18 w załączniku nr 1 poprzez zastąpienie obowiązku stosowania znaku A-16 „Przejście dla pieszych”, dopuszczeniem jego stosowania przed przejściem dla pieszych bez sygnalizacji świetlnej, wyznaczonym między skrzyżowaniami na drogach       o dopuszczalnej prędkości nie większej niż 50 km/h. Zapis ten dotyczy głównie obszarów zabudowanych,</w:t>
      </w:r>
      <w:r>
        <w:rPr>
          <w:spacing w:val="-15"/>
          <w:sz w:val="24"/>
        </w:rPr>
        <w:t> </w:t>
      </w:r>
      <w:r>
        <w:rPr>
          <w:sz w:val="24"/>
        </w:rPr>
        <w:t>na</w:t>
      </w:r>
      <w:r>
        <w:rPr>
          <w:spacing w:val="-17"/>
          <w:sz w:val="24"/>
        </w:rPr>
        <w:t> </w:t>
      </w:r>
      <w:r>
        <w:rPr>
          <w:sz w:val="24"/>
        </w:rPr>
        <w:t>których</w:t>
      </w:r>
      <w:r>
        <w:rPr>
          <w:spacing w:val="-17"/>
          <w:sz w:val="24"/>
        </w:rPr>
        <w:t> </w:t>
      </w:r>
      <w:r>
        <w:rPr>
          <w:sz w:val="24"/>
        </w:rPr>
        <w:t>kierujący</w:t>
      </w:r>
      <w:r>
        <w:rPr>
          <w:spacing w:val="-16"/>
          <w:sz w:val="24"/>
        </w:rPr>
        <w:t> </w:t>
      </w:r>
      <w:r>
        <w:rPr>
          <w:sz w:val="24"/>
        </w:rPr>
        <w:t>pojazdami</w:t>
      </w:r>
      <w:r>
        <w:rPr>
          <w:spacing w:val="-17"/>
          <w:sz w:val="24"/>
        </w:rPr>
        <w:t> </w:t>
      </w:r>
      <w:r>
        <w:rPr>
          <w:sz w:val="24"/>
        </w:rPr>
        <w:t>mają</w:t>
      </w:r>
      <w:r>
        <w:rPr>
          <w:spacing w:val="-16"/>
          <w:sz w:val="24"/>
        </w:rPr>
        <w:t> </w:t>
      </w:r>
      <w:r>
        <w:rPr>
          <w:sz w:val="24"/>
        </w:rPr>
        <w:t>świadomość,</w:t>
      </w:r>
      <w:r>
        <w:rPr>
          <w:spacing w:val="-16"/>
          <w:sz w:val="24"/>
        </w:rPr>
        <w:t> </w:t>
      </w:r>
      <w:r>
        <w:rPr>
          <w:sz w:val="24"/>
        </w:rPr>
        <w:t>że</w:t>
      </w:r>
      <w:r>
        <w:rPr>
          <w:spacing w:val="-17"/>
          <w:sz w:val="24"/>
        </w:rPr>
        <w:t> </w:t>
      </w:r>
      <w:r>
        <w:rPr>
          <w:sz w:val="24"/>
        </w:rPr>
        <w:t>z</w:t>
      </w:r>
      <w:r>
        <w:rPr>
          <w:spacing w:val="-17"/>
          <w:sz w:val="24"/>
        </w:rPr>
        <w:t> </w:t>
      </w:r>
      <w:r>
        <w:rPr>
          <w:sz w:val="24"/>
        </w:rPr>
        <w:t>uwagi</w:t>
      </w:r>
      <w:r>
        <w:rPr>
          <w:spacing w:val="-17"/>
          <w:sz w:val="24"/>
        </w:rPr>
        <w:t> </w:t>
      </w:r>
      <w:r>
        <w:rPr>
          <w:sz w:val="24"/>
        </w:rPr>
        <w:t>na</w:t>
      </w:r>
      <w:r>
        <w:rPr>
          <w:spacing w:val="-17"/>
          <w:sz w:val="24"/>
        </w:rPr>
        <w:t> </w:t>
      </w:r>
      <w:r>
        <w:rPr>
          <w:sz w:val="24"/>
        </w:rPr>
        <w:t>odbywający się ruch pieszy na tym obszarze mogą występować przejścia dla pieszych. Prędkość maksymalna 50 km/h w obszarze zabudowanym pozwala na dostrzeżenie przejścia dla pieszych oraz ewentualnych pieszych w jego rejonie i odpowiednią reakcję kierującego pojazdem;</w:t>
      </w:r>
    </w:p>
    <w:p>
      <w:pPr>
        <w:pStyle w:val="ListParagraph"/>
        <w:numPr>
          <w:ilvl w:val="0"/>
          <w:numId w:val="3"/>
        </w:numPr>
        <w:tabs>
          <w:tab w:pos="475" w:val="left" w:leader="none"/>
        </w:tabs>
        <w:spacing w:line="240" w:lineRule="auto" w:before="120" w:after="0"/>
        <w:ind w:left="475" w:right="112" w:hanging="357"/>
        <w:jc w:val="both"/>
        <w:rPr>
          <w:sz w:val="24"/>
        </w:rPr>
      </w:pPr>
      <w:r>
        <w:rPr>
          <w:sz w:val="24"/>
        </w:rPr>
        <w:t>zmianę brzmienia pkt 3.2.15 w załączniku nr 1 poprzez wprowadzenie zakazu stosowania znaku B-6/8/9 „Zakaz wjazdu pojazdów innych niż samochodowe” łącznie ze znakiem D-7 oraz</w:t>
      </w:r>
      <w:r>
        <w:rPr>
          <w:spacing w:val="32"/>
          <w:sz w:val="24"/>
        </w:rPr>
        <w:t> </w:t>
      </w:r>
      <w:r>
        <w:rPr>
          <w:sz w:val="24"/>
        </w:rPr>
        <w:t>D-9.</w:t>
      </w:r>
      <w:r>
        <w:rPr>
          <w:spacing w:val="32"/>
          <w:sz w:val="24"/>
        </w:rPr>
        <w:t> </w:t>
      </w:r>
      <w:r>
        <w:rPr>
          <w:sz w:val="24"/>
        </w:rPr>
        <w:t>Znaki</w:t>
      </w:r>
      <w:r>
        <w:rPr>
          <w:spacing w:val="33"/>
          <w:sz w:val="24"/>
        </w:rPr>
        <w:t> </w:t>
      </w:r>
      <w:r>
        <w:rPr>
          <w:sz w:val="24"/>
        </w:rPr>
        <w:t>te</w:t>
      </w:r>
      <w:r>
        <w:rPr>
          <w:spacing w:val="32"/>
          <w:sz w:val="24"/>
        </w:rPr>
        <w:t> </w:t>
      </w:r>
      <w:r>
        <w:rPr>
          <w:sz w:val="24"/>
        </w:rPr>
        <w:t>informują</w:t>
      </w:r>
      <w:r>
        <w:rPr>
          <w:spacing w:val="33"/>
          <w:sz w:val="24"/>
        </w:rPr>
        <w:t> </w:t>
      </w:r>
      <w:r>
        <w:rPr>
          <w:sz w:val="24"/>
        </w:rPr>
        <w:t>o</w:t>
      </w:r>
      <w:r>
        <w:rPr>
          <w:spacing w:val="32"/>
          <w:sz w:val="24"/>
        </w:rPr>
        <w:t> </w:t>
      </w:r>
      <w:r>
        <w:rPr>
          <w:sz w:val="24"/>
        </w:rPr>
        <w:t>klasie</w:t>
      </w:r>
      <w:r>
        <w:rPr>
          <w:spacing w:val="32"/>
          <w:sz w:val="24"/>
        </w:rPr>
        <w:t> </w:t>
      </w:r>
      <w:r>
        <w:rPr>
          <w:sz w:val="24"/>
        </w:rPr>
        <w:t>drogi,</w:t>
      </w:r>
      <w:r>
        <w:rPr>
          <w:spacing w:val="32"/>
          <w:sz w:val="24"/>
        </w:rPr>
        <w:t> </w:t>
      </w:r>
      <w:r>
        <w:rPr>
          <w:sz w:val="24"/>
        </w:rPr>
        <w:t>na</w:t>
      </w:r>
      <w:r>
        <w:rPr>
          <w:spacing w:val="32"/>
          <w:sz w:val="24"/>
        </w:rPr>
        <w:t> </w:t>
      </w:r>
      <w:r>
        <w:rPr>
          <w:sz w:val="24"/>
        </w:rPr>
        <w:t>której</w:t>
      </w:r>
      <w:r>
        <w:rPr>
          <w:spacing w:val="32"/>
          <w:sz w:val="24"/>
        </w:rPr>
        <w:t> </w:t>
      </w:r>
      <w:r>
        <w:rPr>
          <w:sz w:val="24"/>
        </w:rPr>
        <w:t>zakaz</w:t>
      </w:r>
      <w:r>
        <w:rPr>
          <w:spacing w:val="33"/>
          <w:sz w:val="24"/>
        </w:rPr>
        <w:t> </w:t>
      </w:r>
      <w:r>
        <w:rPr>
          <w:sz w:val="24"/>
        </w:rPr>
        <w:t>ruchu</w:t>
      </w:r>
      <w:r>
        <w:rPr>
          <w:spacing w:val="32"/>
          <w:sz w:val="24"/>
        </w:rPr>
        <w:t> </w:t>
      </w:r>
      <w:r>
        <w:rPr>
          <w:sz w:val="24"/>
        </w:rPr>
        <w:t>pojazdów</w:t>
      </w:r>
      <w:r>
        <w:rPr>
          <w:spacing w:val="32"/>
          <w:sz w:val="24"/>
        </w:rPr>
        <w:t> </w:t>
      </w:r>
      <w:r>
        <w:rPr>
          <w:sz w:val="24"/>
        </w:rPr>
        <w:t>innych</w:t>
      </w:r>
      <w:r>
        <w:rPr>
          <w:spacing w:val="33"/>
          <w:sz w:val="24"/>
        </w:rPr>
        <w:t> </w:t>
      </w:r>
      <w:r>
        <w:rPr>
          <w:sz w:val="24"/>
        </w:rPr>
        <w:t>niż</w:t>
      </w:r>
    </w:p>
    <w:p>
      <w:pPr>
        <w:spacing w:after="0" w:line="240" w:lineRule="auto"/>
        <w:jc w:val="both"/>
        <w:rPr>
          <w:sz w:val="24"/>
        </w:rPr>
        <w:sectPr>
          <w:pgSz w:w="11910" w:h="16840"/>
          <w:pgMar w:header="716" w:footer="0" w:top="900" w:bottom="280" w:left="1300" w:right="1160"/>
        </w:sectPr>
      </w:pPr>
    </w:p>
    <w:p>
      <w:pPr>
        <w:pStyle w:val="BodyText"/>
        <w:spacing w:before="0"/>
        <w:ind w:left="0"/>
        <w:jc w:val="left"/>
        <w:rPr>
          <w:sz w:val="20"/>
        </w:rPr>
      </w:pPr>
    </w:p>
    <w:p>
      <w:pPr>
        <w:pStyle w:val="BodyText"/>
        <w:spacing w:before="2"/>
        <w:ind w:left="0"/>
        <w:jc w:val="left"/>
        <w:rPr>
          <w:sz w:val="28"/>
        </w:rPr>
      </w:pPr>
    </w:p>
    <w:p>
      <w:pPr>
        <w:pStyle w:val="BodyText"/>
        <w:spacing w:before="90"/>
        <w:ind w:right="113"/>
      </w:pPr>
      <w:r>
        <w:rPr/>
        <w:t>samochodowe wynika z odrębnych przepisów, dlatego umieszczenie z nimi łącznia znaku B-6/8/9 stanowiło dotychczas jedynie powielenie obowiązujących ograniczeń;</w:t>
      </w:r>
    </w:p>
    <w:p>
      <w:pPr>
        <w:pStyle w:val="ListParagraph"/>
        <w:numPr>
          <w:ilvl w:val="0"/>
          <w:numId w:val="3"/>
        </w:numPr>
        <w:tabs>
          <w:tab w:pos="475" w:val="left" w:leader="none"/>
        </w:tabs>
        <w:spacing w:line="240" w:lineRule="auto" w:before="120" w:after="0"/>
        <w:ind w:left="475" w:right="111" w:hanging="357"/>
        <w:jc w:val="both"/>
        <w:rPr>
          <w:sz w:val="24"/>
        </w:rPr>
      </w:pPr>
      <w:r>
        <w:rPr>
          <w:sz w:val="24"/>
        </w:rPr>
        <w:t>zmianę brzmienia pkt 5.2.50 w załączniku nr 1 uwzględniającą ograniczenie stosowania znaku D-18 „Parking” poprzez dopuszczenie oznakowania grupy miejsc postojowych rozdzielonych pojedynczymi wyspami, zjazdami itp. Nie zmienia to zasady, że miejsca postojowe w strefach płatnego parkowania lub śródmiejskich strefach płatnego parkowania wyznacza</w:t>
      </w:r>
      <w:r>
        <w:rPr>
          <w:spacing w:val="-10"/>
          <w:sz w:val="24"/>
        </w:rPr>
        <w:t> </w:t>
      </w:r>
      <w:r>
        <w:rPr>
          <w:sz w:val="24"/>
        </w:rPr>
        <w:t>się</w:t>
      </w:r>
      <w:r>
        <w:rPr>
          <w:spacing w:val="-10"/>
          <w:sz w:val="24"/>
        </w:rPr>
        <w:t> </w:t>
      </w:r>
      <w:r>
        <w:rPr>
          <w:sz w:val="24"/>
        </w:rPr>
        <w:t>jednocześnie</w:t>
      </w:r>
      <w:r>
        <w:rPr>
          <w:spacing w:val="-9"/>
          <w:sz w:val="24"/>
        </w:rPr>
        <w:t> </w:t>
      </w:r>
      <w:r>
        <w:rPr>
          <w:sz w:val="24"/>
        </w:rPr>
        <w:t>znakiem</w:t>
      </w:r>
      <w:r>
        <w:rPr>
          <w:spacing w:val="-9"/>
          <w:sz w:val="24"/>
        </w:rPr>
        <w:t> </w:t>
      </w:r>
      <w:r>
        <w:rPr>
          <w:sz w:val="24"/>
        </w:rPr>
        <w:t>pionowym</w:t>
      </w:r>
      <w:r>
        <w:rPr>
          <w:spacing w:val="-10"/>
          <w:sz w:val="24"/>
        </w:rPr>
        <w:t> </w:t>
      </w:r>
      <w:r>
        <w:rPr>
          <w:sz w:val="24"/>
        </w:rPr>
        <w:t>i</w:t>
      </w:r>
      <w:r>
        <w:rPr>
          <w:spacing w:val="-10"/>
          <w:sz w:val="24"/>
        </w:rPr>
        <w:t> </w:t>
      </w:r>
      <w:r>
        <w:rPr>
          <w:sz w:val="24"/>
        </w:rPr>
        <w:t>poziomym.</w:t>
      </w:r>
      <w:r>
        <w:rPr>
          <w:spacing w:val="-10"/>
          <w:sz w:val="24"/>
        </w:rPr>
        <w:t> </w:t>
      </w:r>
      <w:r>
        <w:rPr>
          <w:sz w:val="24"/>
        </w:rPr>
        <w:t>Pozwoli</w:t>
      </w:r>
      <w:r>
        <w:rPr>
          <w:spacing w:val="-10"/>
          <w:sz w:val="24"/>
        </w:rPr>
        <w:t> </w:t>
      </w:r>
      <w:r>
        <w:rPr>
          <w:sz w:val="24"/>
        </w:rPr>
        <w:t>jednak</w:t>
      </w:r>
      <w:r>
        <w:rPr>
          <w:spacing w:val="-9"/>
          <w:sz w:val="24"/>
        </w:rPr>
        <w:t> </w:t>
      </w:r>
      <w:r>
        <w:rPr>
          <w:sz w:val="24"/>
        </w:rPr>
        <w:t>na</w:t>
      </w:r>
      <w:r>
        <w:rPr>
          <w:spacing w:val="-10"/>
          <w:sz w:val="24"/>
        </w:rPr>
        <w:t> </w:t>
      </w:r>
      <w:r>
        <w:rPr>
          <w:sz w:val="24"/>
        </w:rPr>
        <w:t>ograniczenie liczby</w:t>
      </w:r>
      <w:r>
        <w:rPr>
          <w:spacing w:val="-10"/>
          <w:sz w:val="24"/>
        </w:rPr>
        <w:t> </w:t>
      </w:r>
      <w:r>
        <w:rPr>
          <w:sz w:val="24"/>
        </w:rPr>
        <w:t>znaków</w:t>
      </w:r>
      <w:r>
        <w:rPr>
          <w:spacing w:val="-10"/>
          <w:sz w:val="24"/>
        </w:rPr>
        <w:t> </w:t>
      </w:r>
      <w:r>
        <w:rPr>
          <w:sz w:val="24"/>
        </w:rPr>
        <w:t>D-18</w:t>
      </w:r>
      <w:r>
        <w:rPr>
          <w:spacing w:val="-11"/>
          <w:sz w:val="24"/>
        </w:rPr>
        <w:t> </w:t>
      </w:r>
      <w:r>
        <w:rPr>
          <w:sz w:val="24"/>
        </w:rPr>
        <w:t>stosowanych</w:t>
      </w:r>
      <w:r>
        <w:rPr>
          <w:spacing w:val="-11"/>
          <w:sz w:val="24"/>
        </w:rPr>
        <w:t> </w:t>
      </w:r>
      <w:r>
        <w:rPr>
          <w:sz w:val="24"/>
        </w:rPr>
        <w:t>w</w:t>
      </w:r>
      <w:r>
        <w:rPr>
          <w:spacing w:val="-11"/>
          <w:sz w:val="24"/>
        </w:rPr>
        <w:t> </w:t>
      </w:r>
      <w:r>
        <w:rPr>
          <w:sz w:val="24"/>
        </w:rPr>
        <w:t>miejscach,</w:t>
      </w:r>
      <w:r>
        <w:rPr>
          <w:spacing w:val="-10"/>
          <w:sz w:val="24"/>
        </w:rPr>
        <w:t> </w:t>
      </w:r>
      <w:r>
        <w:rPr>
          <w:sz w:val="24"/>
        </w:rPr>
        <w:t>w</w:t>
      </w:r>
      <w:r>
        <w:rPr>
          <w:spacing w:val="-11"/>
          <w:sz w:val="24"/>
        </w:rPr>
        <w:t> </w:t>
      </w:r>
      <w:r>
        <w:rPr>
          <w:sz w:val="24"/>
        </w:rPr>
        <w:t>których</w:t>
      </w:r>
      <w:r>
        <w:rPr>
          <w:spacing w:val="-11"/>
          <w:sz w:val="24"/>
        </w:rPr>
        <w:t> </w:t>
      </w:r>
      <w:r>
        <w:rPr>
          <w:sz w:val="24"/>
        </w:rPr>
        <w:t>miejsca</w:t>
      </w:r>
      <w:r>
        <w:rPr>
          <w:spacing w:val="-10"/>
          <w:sz w:val="24"/>
        </w:rPr>
        <w:t> </w:t>
      </w:r>
      <w:r>
        <w:rPr>
          <w:sz w:val="24"/>
        </w:rPr>
        <w:t>postojowe</w:t>
      </w:r>
      <w:r>
        <w:rPr>
          <w:spacing w:val="-11"/>
          <w:sz w:val="24"/>
        </w:rPr>
        <w:t> </w:t>
      </w:r>
      <w:r>
        <w:rPr>
          <w:sz w:val="24"/>
        </w:rPr>
        <w:t>wyznaczone</w:t>
      </w:r>
      <w:r>
        <w:rPr>
          <w:spacing w:val="-11"/>
          <w:sz w:val="24"/>
        </w:rPr>
        <w:t> </w:t>
      </w:r>
      <w:r>
        <w:rPr>
          <w:sz w:val="24"/>
        </w:rPr>
        <w:t>są w sposób nie budzący wątpliwości co do miejsca i sposobu</w:t>
      </w:r>
      <w:r>
        <w:rPr>
          <w:spacing w:val="-23"/>
          <w:sz w:val="24"/>
        </w:rPr>
        <w:t> </w:t>
      </w:r>
      <w:r>
        <w:rPr>
          <w:sz w:val="24"/>
        </w:rPr>
        <w:t>parkowania;</w:t>
      </w:r>
    </w:p>
    <w:p>
      <w:pPr>
        <w:pStyle w:val="ListParagraph"/>
        <w:numPr>
          <w:ilvl w:val="0"/>
          <w:numId w:val="3"/>
        </w:numPr>
        <w:tabs>
          <w:tab w:pos="475" w:val="left" w:leader="none"/>
        </w:tabs>
        <w:spacing w:line="240" w:lineRule="auto" w:before="120" w:after="0"/>
        <w:ind w:left="475" w:right="111" w:hanging="357"/>
        <w:jc w:val="both"/>
        <w:rPr>
          <w:sz w:val="24"/>
        </w:rPr>
      </w:pPr>
      <w:r>
        <w:rPr>
          <w:sz w:val="24"/>
        </w:rPr>
        <w:t>zmianę brzmienia pkt 8.3.3 w załączniku nr 1, polegającą na doprecyzowaniu zasad lokalizowania znaku W-7, informującego o ograniczonej wysokości skrajni drogowej. Przepisy w dotychczasowym brzmieniu odnosiły się do skrajni pionowej na moście lub      w</w:t>
      </w:r>
      <w:r>
        <w:rPr>
          <w:spacing w:val="-5"/>
          <w:sz w:val="24"/>
        </w:rPr>
        <w:t> </w:t>
      </w:r>
      <w:r>
        <w:rPr>
          <w:sz w:val="24"/>
        </w:rPr>
        <w:t>tunelu.</w:t>
      </w:r>
      <w:r>
        <w:rPr>
          <w:spacing w:val="-4"/>
          <w:sz w:val="24"/>
        </w:rPr>
        <w:t> </w:t>
      </w:r>
      <w:r>
        <w:rPr>
          <w:sz w:val="24"/>
        </w:rPr>
        <w:t>Wprowadzenie</w:t>
      </w:r>
      <w:r>
        <w:rPr>
          <w:spacing w:val="-3"/>
          <w:sz w:val="24"/>
        </w:rPr>
        <w:t> </w:t>
      </w:r>
      <w:r>
        <w:rPr>
          <w:sz w:val="24"/>
        </w:rPr>
        <w:t>zmian</w:t>
      </w:r>
      <w:r>
        <w:rPr>
          <w:spacing w:val="-4"/>
          <w:sz w:val="24"/>
        </w:rPr>
        <w:t> </w:t>
      </w:r>
      <w:r>
        <w:rPr>
          <w:sz w:val="24"/>
        </w:rPr>
        <w:t>pozwoli</w:t>
      </w:r>
      <w:r>
        <w:rPr>
          <w:spacing w:val="-5"/>
          <w:sz w:val="24"/>
        </w:rPr>
        <w:t> </w:t>
      </w:r>
      <w:r>
        <w:rPr>
          <w:sz w:val="24"/>
        </w:rPr>
        <w:t>na</w:t>
      </w:r>
      <w:r>
        <w:rPr>
          <w:spacing w:val="-5"/>
          <w:sz w:val="24"/>
        </w:rPr>
        <w:t> </w:t>
      </w:r>
      <w:r>
        <w:rPr>
          <w:sz w:val="24"/>
        </w:rPr>
        <w:t>rozszerzenie</w:t>
      </w:r>
      <w:r>
        <w:rPr>
          <w:spacing w:val="-5"/>
          <w:sz w:val="24"/>
        </w:rPr>
        <w:t> </w:t>
      </w:r>
      <w:r>
        <w:rPr>
          <w:sz w:val="24"/>
        </w:rPr>
        <w:t>zakresu</w:t>
      </w:r>
      <w:r>
        <w:rPr>
          <w:spacing w:val="-4"/>
          <w:sz w:val="24"/>
        </w:rPr>
        <w:t> </w:t>
      </w:r>
      <w:r>
        <w:rPr>
          <w:sz w:val="24"/>
        </w:rPr>
        <w:t>stosowania</w:t>
      </w:r>
      <w:r>
        <w:rPr>
          <w:spacing w:val="-5"/>
          <w:sz w:val="24"/>
        </w:rPr>
        <w:t> </w:t>
      </w:r>
      <w:r>
        <w:rPr>
          <w:sz w:val="24"/>
        </w:rPr>
        <w:t>znaku,</w:t>
      </w:r>
      <w:r>
        <w:rPr>
          <w:spacing w:val="-4"/>
          <w:sz w:val="24"/>
        </w:rPr>
        <w:t> </w:t>
      </w:r>
      <w:r>
        <w:rPr>
          <w:sz w:val="24"/>
        </w:rPr>
        <w:t>poprzez odniesienie się do wysokości skrajni nad jezdnią, częścią pobocza o nawierzchni twardej, opaską wewnętrzną, zatoką postojową lub przystankową. Jednocześnie, nomenklatura dotycząca skrajni została dostosowana do nomenklatury stosowanej w rozporządzeniu Ministra Infrastruktury z dnia 24 czerwca 2022 r. w sprawie przepisów techniczno- budowlanych dotyczących dróg publicznych (Dz. U. poz.</w:t>
      </w:r>
      <w:r>
        <w:rPr>
          <w:spacing w:val="-3"/>
          <w:sz w:val="24"/>
        </w:rPr>
        <w:t> </w:t>
      </w:r>
      <w:r>
        <w:rPr>
          <w:sz w:val="24"/>
        </w:rPr>
        <w:t>1518);</w:t>
      </w:r>
    </w:p>
    <w:p>
      <w:pPr>
        <w:pStyle w:val="ListParagraph"/>
        <w:numPr>
          <w:ilvl w:val="0"/>
          <w:numId w:val="3"/>
        </w:numPr>
        <w:tabs>
          <w:tab w:pos="475" w:val="left" w:leader="none"/>
        </w:tabs>
        <w:spacing w:line="240" w:lineRule="auto" w:before="120" w:after="0"/>
        <w:ind w:left="475" w:right="112" w:hanging="357"/>
        <w:jc w:val="both"/>
        <w:rPr>
          <w:sz w:val="24"/>
        </w:rPr>
      </w:pPr>
      <w:r>
        <w:rPr>
          <w:sz w:val="24"/>
        </w:rPr>
        <w:t>zmianę brzmienia pkt 5.2.9.3 w załączniku nr 2, umożliwiającą ograniczenie stosowania znaku P-26 na drogach dla pieszych i rowerów, na których umieszczono znak C13/16 z kreską poziomą, poprzez zamianę istniejącego dotychczas obowiązku na dopuszczenie możliwości powtarzania znaków P-26 i P-23 na całej długości drogi. Zmiana będzie miała zastosowanie głównie na długich odcinkach dróg dla pieszych i rowerów, których przeznaczenie nie budzi</w:t>
      </w:r>
      <w:r>
        <w:rPr>
          <w:spacing w:val="-3"/>
          <w:sz w:val="24"/>
        </w:rPr>
        <w:t> </w:t>
      </w:r>
      <w:r>
        <w:rPr>
          <w:sz w:val="24"/>
        </w:rPr>
        <w:t>wątpliwości;</w:t>
      </w:r>
    </w:p>
    <w:p>
      <w:pPr>
        <w:pStyle w:val="ListParagraph"/>
        <w:numPr>
          <w:ilvl w:val="0"/>
          <w:numId w:val="3"/>
        </w:numPr>
        <w:tabs>
          <w:tab w:pos="475" w:val="left" w:leader="none"/>
        </w:tabs>
        <w:spacing w:line="240" w:lineRule="auto" w:before="120" w:after="0"/>
        <w:ind w:left="475" w:right="111" w:hanging="357"/>
        <w:jc w:val="both"/>
        <w:rPr>
          <w:sz w:val="24"/>
        </w:rPr>
      </w:pPr>
      <w:r>
        <w:rPr>
          <w:sz w:val="24"/>
        </w:rPr>
        <w:t>zmianę</w:t>
      </w:r>
      <w:r>
        <w:rPr>
          <w:spacing w:val="-9"/>
          <w:sz w:val="24"/>
        </w:rPr>
        <w:t> </w:t>
      </w:r>
      <w:r>
        <w:rPr>
          <w:sz w:val="24"/>
        </w:rPr>
        <w:t>brzmienia</w:t>
      </w:r>
      <w:r>
        <w:rPr>
          <w:spacing w:val="-10"/>
          <w:sz w:val="24"/>
        </w:rPr>
        <w:t> </w:t>
      </w:r>
      <w:r>
        <w:rPr>
          <w:sz w:val="24"/>
        </w:rPr>
        <w:t>pkt</w:t>
      </w:r>
      <w:r>
        <w:rPr>
          <w:spacing w:val="-10"/>
          <w:sz w:val="24"/>
        </w:rPr>
        <w:t> </w:t>
      </w:r>
      <w:r>
        <w:rPr>
          <w:sz w:val="24"/>
        </w:rPr>
        <w:t>7</w:t>
      </w:r>
      <w:r>
        <w:rPr>
          <w:spacing w:val="-10"/>
          <w:sz w:val="24"/>
        </w:rPr>
        <w:t> </w:t>
      </w:r>
      <w:r>
        <w:rPr>
          <w:sz w:val="24"/>
        </w:rPr>
        <w:t>i</w:t>
      </w:r>
      <w:r>
        <w:rPr>
          <w:spacing w:val="-10"/>
          <w:sz w:val="24"/>
        </w:rPr>
        <w:t> </w:t>
      </w:r>
      <w:r>
        <w:rPr>
          <w:sz w:val="24"/>
        </w:rPr>
        <w:t>7.1</w:t>
      </w:r>
      <w:r>
        <w:rPr>
          <w:spacing w:val="-10"/>
          <w:sz w:val="24"/>
        </w:rPr>
        <w:t> </w:t>
      </w:r>
      <w:r>
        <w:rPr>
          <w:sz w:val="24"/>
        </w:rPr>
        <w:t>w</w:t>
      </w:r>
      <w:r>
        <w:rPr>
          <w:spacing w:val="-10"/>
          <w:sz w:val="24"/>
        </w:rPr>
        <w:t> </w:t>
      </w:r>
      <w:r>
        <w:rPr>
          <w:sz w:val="24"/>
        </w:rPr>
        <w:t>załączniku</w:t>
      </w:r>
      <w:r>
        <w:rPr>
          <w:spacing w:val="-9"/>
          <w:sz w:val="24"/>
        </w:rPr>
        <w:t> </w:t>
      </w:r>
      <w:r>
        <w:rPr>
          <w:sz w:val="24"/>
        </w:rPr>
        <w:t>nr</w:t>
      </w:r>
      <w:r>
        <w:rPr>
          <w:spacing w:val="-10"/>
          <w:sz w:val="24"/>
        </w:rPr>
        <w:t> </w:t>
      </w:r>
      <w:r>
        <w:rPr>
          <w:sz w:val="24"/>
        </w:rPr>
        <w:t>4,</w:t>
      </w:r>
      <w:r>
        <w:rPr>
          <w:spacing w:val="-10"/>
          <w:sz w:val="24"/>
        </w:rPr>
        <w:t> </w:t>
      </w:r>
      <w:r>
        <w:rPr>
          <w:sz w:val="24"/>
        </w:rPr>
        <w:t>umożliwiającą</w:t>
      </w:r>
      <w:r>
        <w:rPr>
          <w:spacing w:val="-9"/>
          <w:sz w:val="24"/>
        </w:rPr>
        <w:t> </w:t>
      </w:r>
      <w:r>
        <w:rPr>
          <w:sz w:val="24"/>
        </w:rPr>
        <w:t>stosowanie</w:t>
      </w:r>
      <w:r>
        <w:rPr>
          <w:spacing w:val="-9"/>
          <w:sz w:val="24"/>
        </w:rPr>
        <w:t> </w:t>
      </w:r>
      <w:r>
        <w:rPr>
          <w:sz w:val="24"/>
        </w:rPr>
        <w:t>barier</w:t>
      </w:r>
      <w:r>
        <w:rPr>
          <w:spacing w:val="-10"/>
          <w:sz w:val="24"/>
        </w:rPr>
        <w:t> </w:t>
      </w:r>
      <w:r>
        <w:rPr>
          <w:sz w:val="24"/>
        </w:rPr>
        <w:t>ochronnych o niskich poziomach powstrzymywania w czasowych organizacjach ruchu w trakcie prowadzenia robót w pasie drogowym. Prowadzenie robót drogowych wykonywanych pod ruchem wymaga zastosowania szczególnych rozwiązań dających możliwość zapewnienia największego poziomu bezpieczeństwa ruchu drogowego. Wprowadzenie możliwości stosowania tymczasowych barier drogowych do rozdzielenia przeciwnych kierunków stanowi</w:t>
      </w:r>
      <w:r>
        <w:rPr>
          <w:spacing w:val="-13"/>
          <w:sz w:val="24"/>
        </w:rPr>
        <w:t> </w:t>
      </w:r>
      <w:r>
        <w:rPr>
          <w:sz w:val="24"/>
        </w:rPr>
        <w:t>rozwiązanie</w:t>
      </w:r>
      <w:r>
        <w:rPr>
          <w:spacing w:val="-12"/>
          <w:sz w:val="24"/>
        </w:rPr>
        <w:t> </w:t>
      </w:r>
      <w:r>
        <w:rPr>
          <w:sz w:val="24"/>
        </w:rPr>
        <w:t>bardziej</w:t>
      </w:r>
      <w:r>
        <w:rPr>
          <w:spacing w:val="-13"/>
          <w:sz w:val="24"/>
        </w:rPr>
        <w:t> </w:t>
      </w:r>
      <w:r>
        <w:rPr>
          <w:sz w:val="24"/>
        </w:rPr>
        <w:t>efektywne</w:t>
      </w:r>
      <w:r>
        <w:rPr>
          <w:spacing w:val="-11"/>
          <w:sz w:val="24"/>
        </w:rPr>
        <w:t> </w:t>
      </w:r>
      <w:r>
        <w:rPr>
          <w:sz w:val="24"/>
        </w:rPr>
        <w:t>niż</w:t>
      </w:r>
      <w:r>
        <w:rPr>
          <w:spacing w:val="-13"/>
          <w:sz w:val="24"/>
        </w:rPr>
        <w:t> </w:t>
      </w:r>
      <w:r>
        <w:rPr>
          <w:sz w:val="24"/>
        </w:rPr>
        <w:t>stosowane</w:t>
      </w:r>
      <w:r>
        <w:rPr>
          <w:spacing w:val="-13"/>
          <w:sz w:val="24"/>
        </w:rPr>
        <w:t> </w:t>
      </w:r>
      <w:r>
        <w:rPr>
          <w:sz w:val="24"/>
        </w:rPr>
        <w:t>dotychczas</w:t>
      </w:r>
      <w:r>
        <w:rPr>
          <w:spacing w:val="-13"/>
          <w:sz w:val="24"/>
        </w:rPr>
        <w:t> </w:t>
      </w:r>
      <w:r>
        <w:rPr>
          <w:sz w:val="24"/>
        </w:rPr>
        <w:t>separatory</w:t>
      </w:r>
      <w:r>
        <w:rPr>
          <w:spacing w:val="-13"/>
          <w:sz w:val="24"/>
        </w:rPr>
        <w:t> </w:t>
      </w:r>
      <w:r>
        <w:rPr>
          <w:sz w:val="24"/>
        </w:rPr>
        <w:t>U-25c</w:t>
      </w:r>
      <w:r>
        <w:rPr>
          <w:spacing w:val="-13"/>
          <w:sz w:val="24"/>
        </w:rPr>
        <w:t> </w:t>
      </w:r>
      <w:r>
        <w:rPr>
          <w:sz w:val="24"/>
        </w:rPr>
        <w:t>bądź</w:t>
      </w:r>
      <w:r>
        <w:rPr>
          <w:spacing w:val="-13"/>
          <w:sz w:val="24"/>
        </w:rPr>
        <w:t> </w:t>
      </w:r>
      <w:r>
        <w:rPr>
          <w:sz w:val="24"/>
        </w:rPr>
        <w:t>U- 25b, w szczególności w odniesieniu do eliminacji zagrożenia wystąpienia zdarzeń czołowych. Dotyczy to szczególnie inwestycji polegających na przebudowie, czy budowie drogi, często odbywającej się po starym śladzie, przy konieczności zastosowania przekroju 1/4 (jednej dwukierunkowej jezdni z czterema pasami</w:t>
      </w:r>
      <w:r>
        <w:rPr>
          <w:spacing w:val="-15"/>
          <w:sz w:val="24"/>
        </w:rPr>
        <w:t> </w:t>
      </w:r>
      <w:r>
        <w:rPr>
          <w:sz w:val="24"/>
        </w:rPr>
        <w:t>ruchu).</w:t>
      </w:r>
    </w:p>
    <w:p>
      <w:pPr>
        <w:pStyle w:val="BodyText"/>
        <w:ind w:left="474" w:right="113"/>
      </w:pPr>
      <w:r>
        <w:rPr/>
        <w:t>Jak</w:t>
      </w:r>
      <w:r>
        <w:rPr>
          <w:spacing w:val="-7"/>
        </w:rPr>
        <w:t> </w:t>
      </w:r>
      <w:r>
        <w:rPr/>
        <w:t>wynika</w:t>
      </w:r>
      <w:r>
        <w:rPr>
          <w:spacing w:val="-6"/>
        </w:rPr>
        <w:t> </w:t>
      </w:r>
      <w:r>
        <w:rPr/>
        <w:t>z</w:t>
      </w:r>
      <w:r>
        <w:rPr>
          <w:spacing w:val="-7"/>
        </w:rPr>
        <w:t> </w:t>
      </w:r>
      <w:r>
        <w:rPr/>
        <w:t>danych</w:t>
      </w:r>
      <w:r>
        <w:rPr>
          <w:spacing w:val="-7"/>
        </w:rPr>
        <w:t> </w:t>
      </w:r>
      <w:r>
        <w:rPr/>
        <w:t>przekazanych</w:t>
      </w:r>
      <w:r>
        <w:rPr>
          <w:spacing w:val="-7"/>
        </w:rPr>
        <w:t> </w:t>
      </w:r>
      <w:r>
        <w:rPr/>
        <w:t>przez</w:t>
      </w:r>
      <w:r>
        <w:rPr>
          <w:spacing w:val="-7"/>
        </w:rPr>
        <w:t> </w:t>
      </w:r>
      <w:r>
        <w:rPr/>
        <w:t>GDDKiA,</w:t>
      </w:r>
      <w:r>
        <w:rPr>
          <w:spacing w:val="-6"/>
        </w:rPr>
        <w:t> </w:t>
      </w:r>
      <w:r>
        <w:rPr/>
        <w:t>zaproponowane</w:t>
      </w:r>
      <w:r>
        <w:rPr>
          <w:spacing w:val="-4"/>
        </w:rPr>
        <w:t> </w:t>
      </w:r>
      <w:r>
        <w:rPr/>
        <w:t>rozwiązanie</w:t>
      </w:r>
      <w:r>
        <w:rPr>
          <w:spacing w:val="-5"/>
        </w:rPr>
        <w:t> </w:t>
      </w:r>
      <w:r>
        <w:rPr/>
        <w:t>stosowane jest obecnie na europejskich drogach, z których Niemcy, Luxemburg, Holandia, Czechy, Cypr,</w:t>
      </w:r>
      <w:r>
        <w:rPr>
          <w:spacing w:val="-6"/>
        </w:rPr>
        <w:t> </w:t>
      </w:r>
      <w:r>
        <w:rPr/>
        <w:t>Austria,</w:t>
      </w:r>
      <w:r>
        <w:rPr>
          <w:spacing w:val="-7"/>
        </w:rPr>
        <w:t> </w:t>
      </w:r>
      <w:r>
        <w:rPr/>
        <w:t>Norwegia</w:t>
      </w:r>
      <w:r>
        <w:rPr>
          <w:spacing w:val="-7"/>
        </w:rPr>
        <w:t> </w:t>
      </w:r>
      <w:r>
        <w:rPr/>
        <w:t>i</w:t>
      </w:r>
      <w:r>
        <w:rPr>
          <w:spacing w:val="-7"/>
        </w:rPr>
        <w:t> </w:t>
      </w:r>
      <w:r>
        <w:rPr/>
        <w:t>Włochy</w:t>
      </w:r>
      <w:r>
        <w:rPr>
          <w:spacing w:val="-7"/>
        </w:rPr>
        <w:t> </w:t>
      </w:r>
      <w:r>
        <w:rPr/>
        <w:t>dopuszczają,</w:t>
      </w:r>
      <w:r>
        <w:rPr>
          <w:spacing w:val="-6"/>
        </w:rPr>
        <w:t> </w:t>
      </w:r>
      <w:r>
        <w:rPr/>
        <w:t>aby</w:t>
      </w:r>
      <w:r>
        <w:rPr>
          <w:spacing w:val="-7"/>
        </w:rPr>
        <w:t> </w:t>
      </w:r>
      <w:r>
        <w:rPr/>
        <w:t>szerokość</w:t>
      </w:r>
      <w:r>
        <w:rPr>
          <w:spacing w:val="-7"/>
        </w:rPr>
        <w:t> </w:t>
      </w:r>
      <w:r>
        <w:rPr/>
        <w:t>pracująca</w:t>
      </w:r>
      <w:r>
        <w:rPr>
          <w:spacing w:val="-6"/>
        </w:rPr>
        <w:t> </w:t>
      </w:r>
      <w:r>
        <w:rPr/>
        <w:t>bariery</w:t>
      </w:r>
      <w:r>
        <w:rPr>
          <w:spacing w:val="-7"/>
        </w:rPr>
        <w:t> </w:t>
      </w:r>
      <w:r>
        <w:rPr/>
        <w:t>znajdowała się w przeciwległym pasie ruchu. Zakłada się, że wprowadzenie możliwości stosowania barier drogowych w czasowej organizacji ruchu ograniczy występowanie niebezpiecznych manewrów</w:t>
      </w:r>
      <w:r>
        <w:rPr>
          <w:spacing w:val="-10"/>
        </w:rPr>
        <w:t> </w:t>
      </w:r>
      <w:r>
        <w:rPr/>
        <w:t>jakich</w:t>
      </w:r>
      <w:r>
        <w:rPr>
          <w:spacing w:val="-10"/>
        </w:rPr>
        <w:t> </w:t>
      </w:r>
      <w:r>
        <w:rPr/>
        <w:t>dopuszczają</w:t>
      </w:r>
      <w:r>
        <w:rPr>
          <w:spacing w:val="-10"/>
        </w:rPr>
        <w:t> </w:t>
      </w:r>
      <w:r>
        <w:rPr/>
        <w:t>się</w:t>
      </w:r>
      <w:r>
        <w:rPr>
          <w:spacing w:val="-11"/>
        </w:rPr>
        <w:t> </w:t>
      </w:r>
      <w:r>
        <w:rPr/>
        <w:t>kierowcy</w:t>
      </w:r>
      <w:r>
        <w:rPr>
          <w:spacing w:val="-11"/>
        </w:rPr>
        <w:t> </w:t>
      </w:r>
      <w:r>
        <w:rPr/>
        <w:t>de</w:t>
      </w:r>
      <w:r>
        <w:rPr>
          <w:spacing w:val="-11"/>
        </w:rPr>
        <w:t> </w:t>
      </w:r>
      <w:r>
        <w:rPr/>
        <w:t>facto</w:t>
      </w:r>
      <w:r>
        <w:rPr>
          <w:spacing w:val="-11"/>
        </w:rPr>
        <w:t> </w:t>
      </w:r>
      <w:r>
        <w:rPr/>
        <w:t>na</w:t>
      </w:r>
      <w:r>
        <w:rPr>
          <w:spacing w:val="-11"/>
        </w:rPr>
        <w:t> </w:t>
      </w:r>
      <w:r>
        <w:rPr/>
        <w:t>placu</w:t>
      </w:r>
      <w:r>
        <w:rPr>
          <w:spacing w:val="-11"/>
        </w:rPr>
        <w:t> </w:t>
      </w:r>
      <w:r>
        <w:rPr/>
        <w:t>budowy,</w:t>
      </w:r>
      <w:r>
        <w:rPr>
          <w:spacing w:val="-11"/>
        </w:rPr>
        <w:t> </w:t>
      </w:r>
      <w:r>
        <w:rPr/>
        <w:t>narażając</w:t>
      </w:r>
      <w:r>
        <w:rPr>
          <w:spacing w:val="-10"/>
        </w:rPr>
        <w:t> </w:t>
      </w:r>
      <w:r>
        <w:rPr/>
        <w:t>tym</w:t>
      </w:r>
      <w:r>
        <w:rPr>
          <w:spacing w:val="-11"/>
        </w:rPr>
        <w:t> </w:t>
      </w:r>
      <w:r>
        <w:rPr/>
        <w:t>samym pracowników wykonujących prace na drodze na utratę zdrowia lub</w:t>
      </w:r>
      <w:r>
        <w:rPr>
          <w:spacing w:val="-10"/>
        </w:rPr>
        <w:t> </w:t>
      </w:r>
      <w:r>
        <w:rPr/>
        <w:t>życia;</w:t>
      </w:r>
    </w:p>
    <w:p>
      <w:pPr>
        <w:pStyle w:val="ListParagraph"/>
        <w:numPr>
          <w:ilvl w:val="0"/>
          <w:numId w:val="3"/>
        </w:numPr>
        <w:tabs>
          <w:tab w:pos="475" w:val="left" w:leader="none"/>
        </w:tabs>
        <w:spacing w:line="240" w:lineRule="auto" w:before="120" w:after="0"/>
        <w:ind w:left="475" w:right="112" w:hanging="357"/>
        <w:jc w:val="both"/>
        <w:rPr>
          <w:sz w:val="24"/>
        </w:rPr>
      </w:pPr>
      <w:r>
        <w:rPr>
          <w:sz w:val="24"/>
        </w:rPr>
        <w:t>zmianę brzmienia pkt 14.6.2.2 w załączniku nr 4 wyłączająca odcinki wykonywania robót drogowych z obowiązku przeprowadzenia analizy stanu bezpieczeństwa ruchu drogowego dla wybranej lokalizacji stacjonarnych urządzeń do kontroli ruchu</w:t>
      </w:r>
      <w:r>
        <w:rPr>
          <w:spacing w:val="-30"/>
          <w:sz w:val="24"/>
        </w:rPr>
        <w:t> </w:t>
      </w:r>
      <w:r>
        <w:rPr>
          <w:sz w:val="24"/>
        </w:rPr>
        <w:t>drogowego.</w:t>
      </w:r>
    </w:p>
    <w:p>
      <w:pPr>
        <w:spacing w:after="0" w:line="240" w:lineRule="auto"/>
        <w:jc w:val="both"/>
        <w:rPr>
          <w:sz w:val="24"/>
        </w:rPr>
        <w:sectPr>
          <w:pgSz w:w="11910" w:h="16840"/>
          <w:pgMar w:header="716" w:footer="0" w:top="900" w:bottom="280" w:left="1300" w:right="1160"/>
        </w:sectPr>
      </w:pPr>
    </w:p>
    <w:p>
      <w:pPr>
        <w:pStyle w:val="BodyText"/>
        <w:spacing w:before="0"/>
        <w:ind w:left="0"/>
        <w:jc w:val="left"/>
        <w:rPr>
          <w:sz w:val="20"/>
        </w:rPr>
      </w:pPr>
    </w:p>
    <w:p>
      <w:pPr>
        <w:pStyle w:val="BodyText"/>
        <w:spacing w:before="2"/>
        <w:ind w:left="0"/>
        <w:jc w:val="left"/>
        <w:rPr>
          <w:sz w:val="28"/>
        </w:rPr>
      </w:pPr>
    </w:p>
    <w:p>
      <w:pPr>
        <w:pStyle w:val="BodyText"/>
        <w:spacing w:before="90"/>
        <w:ind w:right="112"/>
      </w:pPr>
      <w:r>
        <w:rPr/>
        <w:t>Uwzględnienie czynników branych pod uwagę przy lokalizacji stacjonarnych urządzeń do kontroli ruchu drogowego w przypadku robót drogowych jest niezasadne. Analiza ta obejmuje np. liczbę i rodzaj zdarzeń drogowych za okres ostatnich 3 lat oraz o średnie dobowe natężenie ruchu drogowego w wybranej lokalizacji. Decyzja o lokalizacji tych urządzenia na odcinkach, gdzie prowadzone są roboty drogowe powinna być podejmowana każdorazowo w sposób indywidualny, uwzględniając m.in. specyfikę robót, konieczność zapewnienia bezpieczeństwa nie tylko uczestnikom ruchu drogowego, ale również pracownikom, a także efektywność prowadzonych prac.</w:t>
      </w:r>
    </w:p>
    <w:p>
      <w:pPr>
        <w:pStyle w:val="BodyText"/>
        <w:spacing w:before="0"/>
        <w:ind w:left="0"/>
        <w:jc w:val="left"/>
        <w:rPr>
          <w:sz w:val="26"/>
        </w:rPr>
      </w:pPr>
    </w:p>
    <w:p>
      <w:pPr>
        <w:pStyle w:val="ListParagraph"/>
        <w:numPr>
          <w:ilvl w:val="1"/>
          <w:numId w:val="1"/>
        </w:numPr>
        <w:tabs>
          <w:tab w:pos="420" w:val="left" w:leader="none"/>
        </w:tabs>
        <w:spacing w:line="240" w:lineRule="auto" w:before="217" w:after="0"/>
        <w:ind w:left="419" w:right="0" w:hanging="301"/>
        <w:jc w:val="both"/>
        <w:rPr>
          <w:sz w:val="24"/>
        </w:rPr>
      </w:pPr>
      <w:r>
        <w:rPr>
          <w:sz w:val="24"/>
        </w:rPr>
        <w:t>Dotychczasowe  przepisy  rozporządzenia  nie  uwzględniały  pojazdów  hybrydowych</w:t>
      </w:r>
      <w:r>
        <w:rPr>
          <w:spacing w:val="50"/>
          <w:sz w:val="24"/>
        </w:rPr>
        <w:t> </w:t>
      </w:r>
      <w:r>
        <w:rPr>
          <w:sz w:val="24"/>
        </w:rPr>
        <w:t>typu</w:t>
      </w:r>
    </w:p>
    <w:p>
      <w:pPr>
        <w:pStyle w:val="BodyText"/>
        <w:spacing w:before="0"/>
        <w:ind w:left="117" w:right="113"/>
      </w:pPr>
      <w:r>
        <w:rPr/>
        <w:t>„plug-in”. Zgodnie z art. 12b ustawy z dnia 21 marca 1985 r. o drogach publicznych organ zarządzający ruchem, m.in. wyznaczając miejsca przeznaczone na postój pojazdów przy ogólnodostępnych stacjach ładowania, wyznacza stanowiska postojowe dla pojazdów elektrycznych i  pojazdów  hybrydowych  w  rozumieniu  ustawy  z  dnia  11  stycznia  2018 r. o elektromobilności i paliwach alternatywnych  (Dz.U.  z  2024 r.  poz.  1289,  z  późn.  zm.). W obowiązującym brzmieniu rozporządzenia pojazdy hybrydowe typu „plug-in” nie zostały uwzględnione, przez co korzystanie z ww. miejsc przy stacjach ładowania przez te pojazdy, zgodnie z obowiązującymi przepisami nie jest</w:t>
      </w:r>
      <w:r>
        <w:rPr>
          <w:spacing w:val="-17"/>
        </w:rPr>
        <w:t> </w:t>
      </w:r>
      <w:r>
        <w:rPr/>
        <w:t>możliwe.</w:t>
      </w:r>
    </w:p>
    <w:p>
      <w:pPr>
        <w:pStyle w:val="BodyText"/>
        <w:ind w:left="118" w:right="111"/>
      </w:pPr>
      <w:r>
        <w:rPr/>
        <w:t>Zgodnie</w:t>
      </w:r>
      <w:r>
        <w:rPr>
          <w:spacing w:val="-13"/>
        </w:rPr>
        <w:t> </w:t>
      </w:r>
      <w:r>
        <w:rPr/>
        <w:t>z</w:t>
      </w:r>
      <w:r>
        <w:rPr>
          <w:spacing w:val="-14"/>
        </w:rPr>
        <w:t> </w:t>
      </w:r>
      <w:r>
        <w:rPr/>
        <w:t>ustawą</w:t>
      </w:r>
      <w:r>
        <w:rPr>
          <w:spacing w:val="-13"/>
        </w:rPr>
        <w:t> </w:t>
      </w:r>
      <w:r>
        <w:rPr/>
        <w:t>z</w:t>
      </w:r>
      <w:r>
        <w:rPr>
          <w:spacing w:val="-14"/>
        </w:rPr>
        <w:t> </w:t>
      </w:r>
      <w:r>
        <w:rPr/>
        <w:t>dnia</w:t>
      </w:r>
      <w:r>
        <w:rPr>
          <w:spacing w:val="-14"/>
        </w:rPr>
        <w:t> </w:t>
      </w:r>
      <w:r>
        <w:rPr/>
        <w:t>11</w:t>
      </w:r>
      <w:r>
        <w:rPr>
          <w:spacing w:val="-14"/>
        </w:rPr>
        <w:t> </w:t>
      </w:r>
      <w:r>
        <w:rPr/>
        <w:t>stycznia</w:t>
      </w:r>
      <w:r>
        <w:rPr>
          <w:spacing w:val="-14"/>
        </w:rPr>
        <w:t> </w:t>
      </w:r>
      <w:r>
        <w:rPr/>
        <w:t>2018</w:t>
      </w:r>
      <w:r>
        <w:rPr>
          <w:spacing w:val="-3"/>
        </w:rPr>
        <w:t> </w:t>
      </w:r>
      <w:r>
        <w:rPr/>
        <w:t>r.</w:t>
      </w:r>
      <w:r>
        <w:rPr>
          <w:spacing w:val="-14"/>
        </w:rPr>
        <w:t> </w:t>
      </w:r>
      <w:r>
        <w:rPr/>
        <w:t>o</w:t>
      </w:r>
      <w:r>
        <w:rPr>
          <w:spacing w:val="-14"/>
        </w:rPr>
        <w:t> </w:t>
      </w:r>
      <w:r>
        <w:rPr/>
        <w:t>elektromobilności</w:t>
      </w:r>
      <w:r>
        <w:rPr>
          <w:spacing w:val="-12"/>
        </w:rPr>
        <w:t> </w:t>
      </w:r>
      <w:r>
        <w:rPr/>
        <w:t>i</w:t>
      </w:r>
      <w:r>
        <w:rPr>
          <w:spacing w:val="-14"/>
        </w:rPr>
        <w:t> </w:t>
      </w:r>
      <w:r>
        <w:rPr/>
        <w:t>paliwach</w:t>
      </w:r>
      <w:r>
        <w:rPr>
          <w:spacing w:val="-14"/>
        </w:rPr>
        <w:t> </w:t>
      </w:r>
      <w:r>
        <w:rPr/>
        <w:t>alternatywnych</w:t>
      </w:r>
      <w:r>
        <w:rPr>
          <w:spacing w:val="-11"/>
        </w:rPr>
        <w:t> </w:t>
      </w:r>
      <w:r>
        <w:rPr/>
        <w:t>przez pojazd hybrydowy należy rozumieć pojazd samochodowy w rozumieniu art. 2 pkt 33 ustawy z dnia 20 czerwca 1997 r. - Prawo o ruchu drogowym, o napędzie spalinowo-elektrycznym, w którym energia elektryczna jest akumulowana przez podłączenie do zewnętrznego źródła zasilania;</w:t>
      </w:r>
    </w:p>
    <w:p>
      <w:pPr>
        <w:pStyle w:val="BodyText"/>
        <w:ind w:left="118"/>
      </w:pPr>
      <w:r>
        <w:rPr/>
        <w:t>Zmiany wprowadzone w przedmiotowym projekcie w tym zakresie obejmują:</w:t>
      </w:r>
    </w:p>
    <w:p>
      <w:pPr>
        <w:pStyle w:val="ListParagraph"/>
        <w:numPr>
          <w:ilvl w:val="0"/>
          <w:numId w:val="4"/>
        </w:numPr>
        <w:tabs>
          <w:tab w:pos="475" w:val="left" w:leader="none"/>
        </w:tabs>
        <w:spacing w:line="240" w:lineRule="auto" w:before="120" w:after="0"/>
        <w:ind w:left="475" w:right="111" w:hanging="357"/>
        <w:jc w:val="both"/>
        <w:rPr>
          <w:sz w:val="24"/>
        </w:rPr>
      </w:pPr>
      <w:r>
        <w:rPr>
          <w:sz w:val="24"/>
        </w:rPr>
        <w:t>zmianę</w:t>
      </w:r>
      <w:r>
        <w:rPr>
          <w:spacing w:val="-6"/>
          <w:sz w:val="24"/>
        </w:rPr>
        <w:t> </w:t>
      </w:r>
      <w:r>
        <w:rPr>
          <w:sz w:val="24"/>
        </w:rPr>
        <w:t>brzmienia</w:t>
      </w:r>
      <w:r>
        <w:rPr>
          <w:spacing w:val="-7"/>
          <w:sz w:val="24"/>
        </w:rPr>
        <w:t> </w:t>
      </w:r>
      <w:r>
        <w:rPr>
          <w:sz w:val="24"/>
        </w:rPr>
        <w:t>pkt</w:t>
      </w:r>
      <w:r>
        <w:rPr>
          <w:spacing w:val="-7"/>
          <w:sz w:val="24"/>
        </w:rPr>
        <w:t> </w:t>
      </w:r>
      <w:r>
        <w:rPr>
          <w:sz w:val="24"/>
        </w:rPr>
        <w:t>5.1.1a</w:t>
      </w:r>
      <w:r>
        <w:rPr>
          <w:spacing w:val="-7"/>
          <w:sz w:val="24"/>
        </w:rPr>
        <w:t> </w:t>
      </w:r>
      <w:r>
        <w:rPr>
          <w:sz w:val="24"/>
        </w:rPr>
        <w:t>w</w:t>
      </w:r>
      <w:r>
        <w:rPr>
          <w:spacing w:val="-7"/>
          <w:sz w:val="24"/>
        </w:rPr>
        <w:t> </w:t>
      </w:r>
      <w:r>
        <w:rPr>
          <w:sz w:val="24"/>
        </w:rPr>
        <w:t>załączniku</w:t>
      </w:r>
      <w:r>
        <w:rPr>
          <w:spacing w:val="-5"/>
          <w:sz w:val="24"/>
        </w:rPr>
        <w:t> </w:t>
      </w:r>
      <w:r>
        <w:rPr>
          <w:sz w:val="24"/>
        </w:rPr>
        <w:t>nr</w:t>
      </w:r>
      <w:r>
        <w:rPr>
          <w:spacing w:val="-7"/>
          <w:sz w:val="24"/>
        </w:rPr>
        <w:t> </w:t>
      </w:r>
      <w:r>
        <w:rPr>
          <w:sz w:val="24"/>
        </w:rPr>
        <w:t>1,</w:t>
      </w:r>
      <w:r>
        <w:rPr>
          <w:spacing w:val="-7"/>
          <w:sz w:val="24"/>
        </w:rPr>
        <w:t> </w:t>
      </w:r>
      <w:r>
        <w:rPr>
          <w:sz w:val="24"/>
        </w:rPr>
        <w:t>polegającą</w:t>
      </w:r>
      <w:r>
        <w:rPr>
          <w:spacing w:val="-5"/>
          <w:sz w:val="24"/>
        </w:rPr>
        <w:t> </w:t>
      </w:r>
      <w:r>
        <w:rPr>
          <w:sz w:val="24"/>
        </w:rPr>
        <w:t>na</w:t>
      </w:r>
      <w:r>
        <w:rPr>
          <w:spacing w:val="-7"/>
          <w:sz w:val="24"/>
        </w:rPr>
        <w:t> </w:t>
      </w:r>
      <w:r>
        <w:rPr>
          <w:sz w:val="24"/>
        </w:rPr>
        <w:t>rozszerzeniu</w:t>
      </w:r>
      <w:r>
        <w:rPr>
          <w:spacing w:val="-7"/>
          <w:sz w:val="24"/>
        </w:rPr>
        <w:t> </w:t>
      </w:r>
      <w:r>
        <w:rPr>
          <w:sz w:val="24"/>
        </w:rPr>
        <w:t>znaczenia</w:t>
      </w:r>
      <w:r>
        <w:rPr>
          <w:spacing w:val="-5"/>
          <w:sz w:val="24"/>
        </w:rPr>
        <w:t> </w:t>
      </w:r>
      <w:r>
        <w:rPr>
          <w:sz w:val="24"/>
        </w:rPr>
        <w:t>punktu ładowania pojazdów elektrycznych o możliwość ładowania pojazdów hybrydowych na drodze, na której znak został umieszczony</w:t>
      </w:r>
      <w:r>
        <w:rPr>
          <w:spacing w:val="-11"/>
          <w:sz w:val="24"/>
        </w:rPr>
        <w:t> </w:t>
      </w:r>
      <w:r>
        <w:rPr>
          <w:sz w:val="24"/>
        </w:rPr>
        <w:t>D-34b;</w:t>
      </w:r>
    </w:p>
    <w:p>
      <w:pPr>
        <w:pStyle w:val="ListParagraph"/>
        <w:numPr>
          <w:ilvl w:val="0"/>
          <w:numId w:val="4"/>
        </w:numPr>
        <w:tabs>
          <w:tab w:pos="475" w:val="left" w:leader="none"/>
        </w:tabs>
        <w:spacing w:line="240" w:lineRule="auto" w:before="120" w:after="0"/>
        <w:ind w:left="475" w:right="112" w:hanging="357"/>
        <w:jc w:val="both"/>
        <w:rPr>
          <w:sz w:val="24"/>
        </w:rPr>
      </w:pPr>
      <w:r>
        <w:rPr>
          <w:sz w:val="24"/>
        </w:rPr>
        <w:t>zmianę brzmienia pkt 5.2.2.4 w załączniku nr 1, polegającą na umożliwieniu ładowania pojazdów hybrydowych w punkcie ładowania na stacji paliw oznakowanej znakiem D-23b oraz w punkcie ładowania oznaczonym znakiem</w:t>
      </w:r>
      <w:r>
        <w:rPr>
          <w:spacing w:val="-17"/>
          <w:sz w:val="24"/>
        </w:rPr>
        <w:t> </w:t>
      </w:r>
      <w:r>
        <w:rPr>
          <w:sz w:val="24"/>
        </w:rPr>
        <w:t>D-23c;</w:t>
      </w:r>
    </w:p>
    <w:p>
      <w:pPr>
        <w:pStyle w:val="ListParagraph"/>
        <w:numPr>
          <w:ilvl w:val="0"/>
          <w:numId w:val="4"/>
        </w:numPr>
        <w:tabs>
          <w:tab w:pos="475" w:val="left" w:leader="none"/>
        </w:tabs>
        <w:spacing w:line="240" w:lineRule="auto" w:before="120" w:after="0"/>
        <w:ind w:left="475" w:right="112" w:hanging="357"/>
        <w:jc w:val="both"/>
        <w:rPr>
          <w:sz w:val="24"/>
        </w:rPr>
      </w:pPr>
      <w:r>
        <w:rPr>
          <w:sz w:val="24"/>
        </w:rPr>
        <w:t>zmianę brzmienia pkt 5.2.4 w załączniku nr 2, uwzględniającą ujęcie pojazdów hybrydowych przy wyznaczaniu miejsc postojowych oznaczonych napisem EV umieszczanym wewnątrz znaku P-18, które mogą mieć nawierzchnię barwy</w:t>
      </w:r>
      <w:r>
        <w:rPr>
          <w:spacing w:val="-21"/>
          <w:sz w:val="24"/>
        </w:rPr>
        <w:t> </w:t>
      </w:r>
      <w:r>
        <w:rPr>
          <w:sz w:val="24"/>
        </w:rPr>
        <w:t>zielonej.</w:t>
      </w:r>
    </w:p>
    <w:p>
      <w:pPr>
        <w:pStyle w:val="BodyText"/>
        <w:spacing w:before="0"/>
        <w:ind w:left="0"/>
        <w:jc w:val="left"/>
        <w:rPr>
          <w:sz w:val="26"/>
        </w:rPr>
      </w:pPr>
    </w:p>
    <w:p>
      <w:pPr>
        <w:pStyle w:val="ListParagraph"/>
        <w:numPr>
          <w:ilvl w:val="1"/>
          <w:numId w:val="1"/>
        </w:numPr>
        <w:tabs>
          <w:tab w:pos="441" w:val="left" w:leader="none"/>
        </w:tabs>
        <w:spacing w:line="240" w:lineRule="auto" w:before="217" w:after="0"/>
        <w:ind w:left="118" w:right="113" w:firstLine="0"/>
        <w:jc w:val="both"/>
        <w:rPr>
          <w:sz w:val="24"/>
        </w:rPr>
      </w:pPr>
      <w:r>
        <w:rPr>
          <w:sz w:val="24"/>
        </w:rPr>
        <w:t>Rozporządzenie wprowadza również zmiany wynikające z konieczności dostosowania oznakowania dróg do nowych rozwiązań, jakie wprowadzono rozporządzeniem Ministra Infrastruktury z dnia 24 czerwca 2022 r. w sprawie przepisów techniczno-budowlanych dotyczących dróg publicznych. Z uwagi na powyższe wprowadzono następujące</w:t>
      </w:r>
      <w:r>
        <w:rPr>
          <w:spacing w:val="-21"/>
          <w:sz w:val="24"/>
        </w:rPr>
        <w:t> </w:t>
      </w:r>
      <w:r>
        <w:rPr>
          <w:sz w:val="24"/>
        </w:rPr>
        <w:t>zmiany:</w:t>
      </w:r>
    </w:p>
    <w:p>
      <w:pPr>
        <w:pStyle w:val="ListParagraph"/>
        <w:numPr>
          <w:ilvl w:val="0"/>
          <w:numId w:val="5"/>
        </w:numPr>
        <w:tabs>
          <w:tab w:pos="475" w:val="left" w:leader="none"/>
        </w:tabs>
        <w:spacing w:line="240" w:lineRule="auto" w:before="120" w:after="0"/>
        <w:ind w:left="475" w:right="115" w:hanging="357"/>
        <w:jc w:val="both"/>
        <w:rPr>
          <w:sz w:val="24"/>
        </w:rPr>
      </w:pPr>
      <w:r>
        <w:rPr>
          <w:spacing w:val="3"/>
          <w:sz w:val="24"/>
        </w:rPr>
        <w:t>zmianę brzmienia </w:t>
      </w:r>
      <w:r>
        <w:rPr>
          <w:sz w:val="24"/>
        </w:rPr>
        <w:t>w </w:t>
      </w:r>
      <w:r>
        <w:rPr>
          <w:spacing w:val="2"/>
          <w:sz w:val="24"/>
        </w:rPr>
        <w:t>pkt </w:t>
      </w:r>
      <w:r>
        <w:rPr>
          <w:spacing w:val="3"/>
          <w:sz w:val="24"/>
        </w:rPr>
        <w:t>4.2.17 </w:t>
      </w:r>
      <w:r>
        <w:rPr>
          <w:sz w:val="24"/>
        </w:rPr>
        <w:t>w </w:t>
      </w:r>
      <w:r>
        <w:rPr>
          <w:spacing w:val="3"/>
          <w:sz w:val="24"/>
        </w:rPr>
        <w:t>załączniku </w:t>
      </w:r>
      <w:r>
        <w:rPr>
          <w:sz w:val="24"/>
        </w:rPr>
        <w:t>nr 1, </w:t>
      </w:r>
      <w:r>
        <w:rPr>
          <w:spacing w:val="3"/>
          <w:sz w:val="24"/>
        </w:rPr>
        <w:t>polegającą </w:t>
      </w:r>
      <w:r>
        <w:rPr>
          <w:sz w:val="24"/>
        </w:rPr>
        <w:t>na </w:t>
      </w:r>
      <w:r>
        <w:rPr>
          <w:spacing w:val="3"/>
          <w:sz w:val="24"/>
        </w:rPr>
        <w:t>doprecyzowaniu zasad stosowania znaku C-16. Dotychczasowe przepisy odnosiły </w:t>
      </w:r>
      <w:r>
        <w:rPr>
          <w:spacing w:val="2"/>
          <w:sz w:val="24"/>
        </w:rPr>
        <w:t>się </w:t>
      </w:r>
      <w:r>
        <w:rPr>
          <w:sz w:val="24"/>
        </w:rPr>
        <w:t>do </w:t>
      </w:r>
      <w:r>
        <w:rPr>
          <w:spacing w:val="3"/>
          <w:sz w:val="24"/>
        </w:rPr>
        <w:t>chodnika,</w:t>
      </w:r>
      <w:r>
        <w:rPr>
          <w:spacing w:val="-24"/>
          <w:sz w:val="24"/>
        </w:rPr>
        <w:t> </w:t>
      </w:r>
      <w:r>
        <w:rPr>
          <w:spacing w:val="3"/>
          <w:sz w:val="24"/>
        </w:rPr>
        <w:t>stanowiącego element wskazanej </w:t>
      </w:r>
      <w:r>
        <w:rPr>
          <w:sz w:val="24"/>
        </w:rPr>
        <w:t>w </w:t>
      </w:r>
      <w:r>
        <w:rPr>
          <w:spacing w:val="3"/>
          <w:sz w:val="24"/>
        </w:rPr>
        <w:t>nowelizacji drogi </w:t>
      </w:r>
      <w:r>
        <w:rPr>
          <w:spacing w:val="2"/>
          <w:sz w:val="24"/>
        </w:rPr>
        <w:t>dla</w:t>
      </w:r>
      <w:r>
        <w:rPr>
          <w:spacing w:val="58"/>
          <w:sz w:val="24"/>
        </w:rPr>
        <w:t> </w:t>
      </w:r>
      <w:r>
        <w:rPr>
          <w:spacing w:val="3"/>
          <w:sz w:val="24"/>
        </w:rPr>
        <w:t>pieszych;</w:t>
      </w:r>
    </w:p>
    <w:p>
      <w:pPr>
        <w:pStyle w:val="ListParagraph"/>
        <w:numPr>
          <w:ilvl w:val="0"/>
          <w:numId w:val="5"/>
        </w:numPr>
        <w:tabs>
          <w:tab w:pos="475" w:val="left" w:leader="none"/>
        </w:tabs>
        <w:spacing w:line="240" w:lineRule="auto" w:before="120" w:after="0"/>
        <w:ind w:left="475" w:right="112" w:hanging="357"/>
        <w:jc w:val="both"/>
        <w:rPr>
          <w:sz w:val="24"/>
        </w:rPr>
      </w:pPr>
      <w:r>
        <w:rPr>
          <w:sz w:val="24"/>
        </w:rPr>
        <w:t>dodanie pkt 7.2.23 w załączniku nr 1 „środkowy pas wielofunkcyjny”. Zmiana wynika        z</w:t>
      </w:r>
      <w:r>
        <w:rPr>
          <w:spacing w:val="-3"/>
          <w:sz w:val="24"/>
        </w:rPr>
        <w:t> </w:t>
      </w:r>
      <w:r>
        <w:rPr>
          <w:sz w:val="24"/>
        </w:rPr>
        <w:t>potrzeby</w:t>
      </w:r>
      <w:r>
        <w:rPr>
          <w:spacing w:val="-12"/>
          <w:sz w:val="24"/>
        </w:rPr>
        <w:t> </w:t>
      </w:r>
      <w:r>
        <w:rPr>
          <w:sz w:val="24"/>
        </w:rPr>
        <w:t>zapewnienia</w:t>
      </w:r>
      <w:r>
        <w:rPr>
          <w:spacing w:val="-10"/>
          <w:sz w:val="24"/>
        </w:rPr>
        <w:t> </w:t>
      </w:r>
      <w:r>
        <w:rPr>
          <w:sz w:val="24"/>
        </w:rPr>
        <w:t>możliwości</w:t>
      </w:r>
      <w:r>
        <w:rPr>
          <w:spacing w:val="-11"/>
          <w:sz w:val="24"/>
        </w:rPr>
        <w:t> </w:t>
      </w:r>
      <w:r>
        <w:rPr>
          <w:sz w:val="24"/>
        </w:rPr>
        <w:t>właściwego</w:t>
      </w:r>
      <w:r>
        <w:rPr>
          <w:spacing w:val="-11"/>
          <w:sz w:val="24"/>
        </w:rPr>
        <w:t> </w:t>
      </w:r>
      <w:r>
        <w:rPr>
          <w:sz w:val="24"/>
        </w:rPr>
        <w:t>oznakowania</w:t>
      </w:r>
      <w:r>
        <w:rPr>
          <w:spacing w:val="-12"/>
          <w:sz w:val="24"/>
        </w:rPr>
        <w:t> </w:t>
      </w:r>
      <w:r>
        <w:rPr>
          <w:sz w:val="24"/>
        </w:rPr>
        <w:t>przekroju</w:t>
      </w:r>
      <w:r>
        <w:rPr>
          <w:spacing w:val="-12"/>
          <w:sz w:val="24"/>
        </w:rPr>
        <w:t> </w:t>
      </w:r>
      <w:r>
        <w:rPr>
          <w:sz w:val="24"/>
        </w:rPr>
        <w:t>ulicy</w:t>
      </w:r>
      <w:r>
        <w:rPr>
          <w:spacing w:val="-12"/>
          <w:sz w:val="24"/>
        </w:rPr>
        <w:t> </w:t>
      </w:r>
      <w:r>
        <w:rPr>
          <w:sz w:val="24"/>
        </w:rPr>
        <w:t>ze</w:t>
      </w:r>
      <w:r>
        <w:rPr>
          <w:spacing w:val="-12"/>
          <w:sz w:val="24"/>
        </w:rPr>
        <w:t> </w:t>
      </w:r>
      <w:r>
        <w:rPr>
          <w:sz w:val="24"/>
        </w:rPr>
        <w:t>środkowym pasem wielofunkcyjnym, który jest przeznaczony dla pojazdów wyjeżdżających z ulicy</w:t>
      </w:r>
      <w:r>
        <w:rPr>
          <w:spacing w:val="58"/>
          <w:sz w:val="24"/>
        </w:rPr>
        <w:t> </w:t>
      </w:r>
      <w:r>
        <w:rPr>
          <w:sz w:val="24"/>
        </w:rPr>
        <w:t>lub</w:t>
      </w:r>
    </w:p>
    <w:p>
      <w:pPr>
        <w:spacing w:after="0" w:line="240" w:lineRule="auto"/>
        <w:jc w:val="both"/>
        <w:rPr>
          <w:sz w:val="24"/>
        </w:rPr>
        <w:sectPr>
          <w:pgSz w:w="11910" w:h="16840"/>
          <w:pgMar w:header="716" w:footer="0" w:top="900" w:bottom="280" w:left="1300" w:right="1160"/>
        </w:sectPr>
      </w:pPr>
    </w:p>
    <w:p>
      <w:pPr>
        <w:pStyle w:val="BodyText"/>
        <w:spacing w:before="0"/>
        <w:ind w:left="0"/>
        <w:jc w:val="left"/>
        <w:rPr>
          <w:sz w:val="20"/>
        </w:rPr>
      </w:pPr>
    </w:p>
    <w:p>
      <w:pPr>
        <w:pStyle w:val="BodyText"/>
        <w:spacing w:before="2"/>
        <w:ind w:left="0"/>
        <w:jc w:val="left"/>
        <w:rPr>
          <w:sz w:val="28"/>
        </w:rPr>
      </w:pPr>
    </w:p>
    <w:p>
      <w:pPr>
        <w:pStyle w:val="BodyText"/>
        <w:tabs>
          <w:tab w:pos="2100" w:val="left" w:leader="none"/>
          <w:tab w:pos="2540" w:val="left" w:leader="none"/>
          <w:tab w:pos="3280" w:val="left" w:leader="none"/>
          <w:tab w:pos="4666" w:val="left" w:leader="none"/>
          <w:tab w:pos="5053" w:val="left" w:leader="none"/>
          <w:tab w:pos="6292" w:val="left" w:leader="none"/>
          <w:tab w:pos="8918" w:val="left" w:leader="none"/>
        </w:tabs>
        <w:spacing w:before="90"/>
        <w:ind w:right="112"/>
        <w:jc w:val="left"/>
      </w:pPr>
      <w:r>
        <w:rPr/>
        <w:t>wjeżdżających</w:t>
        <w:tab/>
        <w:t>na</w:t>
        <w:tab/>
        <w:t>ulicę,</w:t>
        <w:tab/>
        <w:t>określonego</w:t>
        <w:tab/>
        <w:t>w</w:t>
        <w:tab/>
        <w:t>przepisach</w:t>
        <w:tab/>
        <w:t>techniczno-budowlanych</w:t>
        <w:tab/>
        <w:t>jako dwukierunkowy 1/2 + 0; dotychczas przepisy nie określały takich</w:t>
      </w:r>
      <w:r>
        <w:rPr>
          <w:spacing w:val="-20"/>
        </w:rPr>
        <w:t> </w:t>
      </w:r>
      <w:r>
        <w:rPr/>
        <w:t>warunków;</w:t>
      </w:r>
    </w:p>
    <w:p>
      <w:pPr>
        <w:pStyle w:val="ListParagraph"/>
        <w:numPr>
          <w:ilvl w:val="0"/>
          <w:numId w:val="5"/>
        </w:numPr>
        <w:tabs>
          <w:tab w:pos="475" w:val="left" w:leader="none"/>
        </w:tabs>
        <w:spacing w:line="240" w:lineRule="auto" w:before="120" w:after="0"/>
        <w:ind w:left="475" w:right="112" w:hanging="357"/>
        <w:jc w:val="both"/>
        <w:rPr>
          <w:sz w:val="24"/>
        </w:rPr>
      </w:pPr>
      <w:r>
        <w:rPr>
          <w:sz w:val="24"/>
        </w:rPr>
        <w:t>dodanie pkt 7.2.24 w załączniku nr 1 „zły kierunek”. Zmiana wprowadza oznakowanie pionowe, które ma służyć wzmocnieniu obowiązującej organizacji ruchu, w celu wyeliminowania potencjalnych przypadków jazdy niezgodnie z ustalonym kierunkiem ruchu; dotychczas przepisy nie określały warunków stosowania takiego</w:t>
      </w:r>
      <w:r>
        <w:rPr>
          <w:spacing w:val="-28"/>
          <w:sz w:val="24"/>
        </w:rPr>
        <w:t> </w:t>
      </w:r>
      <w:r>
        <w:rPr>
          <w:sz w:val="24"/>
        </w:rPr>
        <w:t>znaku;</w:t>
      </w:r>
    </w:p>
    <w:p>
      <w:pPr>
        <w:pStyle w:val="ListParagraph"/>
        <w:numPr>
          <w:ilvl w:val="0"/>
          <w:numId w:val="5"/>
        </w:numPr>
        <w:tabs>
          <w:tab w:pos="475" w:val="left" w:leader="none"/>
        </w:tabs>
        <w:spacing w:line="240" w:lineRule="auto" w:before="120" w:after="0"/>
        <w:ind w:left="475" w:right="112" w:hanging="357"/>
        <w:jc w:val="both"/>
        <w:rPr>
          <w:sz w:val="24"/>
        </w:rPr>
      </w:pPr>
      <w:r>
        <w:rPr>
          <w:sz w:val="24"/>
        </w:rPr>
        <w:t>zmianę brzmienia pkt 2.2.1.3 w załączniku nr 2, wprowadzającą możliwość stosowania linii poziomej pojedynczej przerywanej do oznakowania przekroju drogi 1/2 – 1; dotychczas przepisy nie określały takiego</w:t>
      </w:r>
      <w:r>
        <w:rPr>
          <w:spacing w:val="-15"/>
          <w:sz w:val="24"/>
        </w:rPr>
        <w:t> </w:t>
      </w:r>
      <w:r>
        <w:rPr>
          <w:sz w:val="24"/>
        </w:rPr>
        <w:t>warunku;</w:t>
      </w:r>
    </w:p>
    <w:p>
      <w:pPr>
        <w:pStyle w:val="ListParagraph"/>
        <w:numPr>
          <w:ilvl w:val="0"/>
          <w:numId w:val="5"/>
        </w:numPr>
        <w:tabs>
          <w:tab w:pos="475" w:val="left" w:leader="none"/>
        </w:tabs>
        <w:spacing w:line="240" w:lineRule="auto" w:before="120" w:after="0"/>
        <w:ind w:left="475" w:right="111" w:hanging="357"/>
        <w:jc w:val="both"/>
        <w:rPr>
          <w:sz w:val="24"/>
        </w:rPr>
      </w:pPr>
      <w:r>
        <w:rPr>
          <w:sz w:val="24"/>
        </w:rPr>
        <w:t>zmianę brzmienia pkt 2.2.1.5 w załączniku nr 2, wprowadzającą możliwość stosowania linii poziomej</w:t>
      </w:r>
      <w:r>
        <w:rPr>
          <w:spacing w:val="-7"/>
          <w:sz w:val="24"/>
        </w:rPr>
        <w:t> </w:t>
      </w:r>
      <w:r>
        <w:rPr>
          <w:sz w:val="24"/>
        </w:rPr>
        <w:t>pojedynczej</w:t>
      </w:r>
      <w:r>
        <w:rPr>
          <w:spacing w:val="-7"/>
          <w:sz w:val="24"/>
        </w:rPr>
        <w:t> </w:t>
      </w:r>
      <w:r>
        <w:rPr>
          <w:sz w:val="24"/>
        </w:rPr>
        <w:t>przerywanej</w:t>
      </w:r>
      <w:r>
        <w:rPr>
          <w:spacing w:val="-7"/>
          <w:sz w:val="24"/>
        </w:rPr>
        <w:t> </w:t>
      </w:r>
      <w:r>
        <w:rPr>
          <w:sz w:val="24"/>
        </w:rPr>
        <w:t>–</w:t>
      </w:r>
      <w:r>
        <w:rPr>
          <w:spacing w:val="-7"/>
          <w:sz w:val="24"/>
        </w:rPr>
        <w:t> </w:t>
      </w:r>
      <w:r>
        <w:rPr>
          <w:sz w:val="24"/>
        </w:rPr>
        <w:t>prowadzącej</w:t>
      </w:r>
      <w:r>
        <w:rPr>
          <w:spacing w:val="-6"/>
          <w:sz w:val="24"/>
        </w:rPr>
        <w:t> </w:t>
      </w:r>
      <w:r>
        <w:rPr>
          <w:sz w:val="24"/>
        </w:rPr>
        <w:t>szerokiej</w:t>
      </w:r>
      <w:r>
        <w:rPr>
          <w:spacing w:val="-7"/>
          <w:sz w:val="24"/>
        </w:rPr>
        <w:t> </w:t>
      </w:r>
      <w:r>
        <w:rPr>
          <w:sz w:val="24"/>
        </w:rPr>
        <w:t>do</w:t>
      </w:r>
      <w:r>
        <w:rPr>
          <w:spacing w:val="-7"/>
          <w:sz w:val="24"/>
        </w:rPr>
        <w:t> </w:t>
      </w:r>
      <w:r>
        <w:rPr>
          <w:sz w:val="24"/>
        </w:rPr>
        <w:t>oznakowania</w:t>
      </w:r>
      <w:r>
        <w:rPr>
          <w:spacing w:val="-7"/>
          <w:sz w:val="24"/>
        </w:rPr>
        <w:t> </w:t>
      </w:r>
      <w:r>
        <w:rPr>
          <w:sz w:val="24"/>
        </w:rPr>
        <w:t>przekroju</w:t>
      </w:r>
      <w:r>
        <w:rPr>
          <w:spacing w:val="-7"/>
          <w:sz w:val="24"/>
        </w:rPr>
        <w:t> </w:t>
      </w:r>
      <w:r>
        <w:rPr>
          <w:sz w:val="24"/>
        </w:rPr>
        <w:t>drogi 1/2 + 0; dotychczas przepisy nie określały takiego</w:t>
      </w:r>
      <w:r>
        <w:rPr>
          <w:spacing w:val="-21"/>
          <w:sz w:val="24"/>
        </w:rPr>
        <w:t> </w:t>
      </w:r>
      <w:r>
        <w:rPr>
          <w:sz w:val="24"/>
        </w:rPr>
        <w:t>warunku;</w:t>
      </w:r>
    </w:p>
    <w:p>
      <w:pPr>
        <w:pStyle w:val="ListParagraph"/>
        <w:numPr>
          <w:ilvl w:val="0"/>
          <w:numId w:val="5"/>
        </w:numPr>
        <w:tabs>
          <w:tab w:pos="475" w:val="left" w:leader="none"/>
        </w:tabs>
        <w:spacing w:line="240" w:lineRule="auto" w:before="120" w:after="0"/>
        <w:ind w:left="475" w:right="112" w:hanging="357"/>
        <w:jc w:val="both"/>
        <w:rPr>
          <w:sz w:val="24"/>
        </w:rPr>
      </w:pPr>
      <w:r>
        <w:rPr>
          <w:sz w:val="24"/>
        </w:rPr>
        <w:t>zmianę</w:t>
      </w:r>
      <w:r>
        <w:rPr>
          <w:spacing w:val="-13"/>
          <w:sz w:val="24"/>
        </w:rPr>
        <w:t> </w:t>
      </w:r>
      <w:r>
        <w:rPr>
          <w:sz w:val="24"/>
        </w:rPr>
        <w:t>brzmienia</w:t>
      </w:r>
      <w:r>
        <w:rPr>
          <w:spacing w:val="-14"/>
          <w:sz w:val="24"/>
        </w:rPr>
        <w:t> </w:t>
      </w:r>
      <w:r>
        <w:rPr>
          <w:sz w:val="24"/>
        </w:rPr>
        <w:t>pkt</w:t>
      </w:r>
      <w:r>
        <w:rPr>
          <w:spacing w:val="-14"/>
          <w:sz w:val="24"/>
        </w:rPr>
        <w:t> </w:t>
      </w:r>
      <w:r>
        <w:rPr>
          <w:sz w:val="24"/>
        </w:rPr>
        <w:t>5.2</w:t>
      </w:r>
      <w:r>
        <w:rPr>
          <w:spacing w:val="-14"/>
          <w:sz w:val="24"/>
        </w:rPr>
        <w:t> </w:t>
      </w:r>
      <w:r>
        <w:rPr>
          <w:sz w:val="24"/>
        </w:rPr>
        <w:t>w</w:t>
      </w:r>
      <w:r>
        <w:rPr>
          <w:spacing w:val="-14"/>
          <w:sz w:val="24"/>
        </w:rPr>
        <w:t> </w:t>
      </w:r>
      <w:r>
        <w:rPr>
          <w:sz w:val="24"/>
        </w:rPr>
        <w:t>załączniku</w:t>
      </w:r>
      <w:r>
        <w:rPr>
          <w:spacing w:val="-12"/>
          <w:sz w:val="24"/>
        </w:rPr>
        <w:t> </w:t>
      </w:r>
      <w:r>
        <w:rPr>
          <w:sz w:val="24"/>
        </w:rPr>
        <w:t>nr</w:t>
      </w:r>
      <w:r>
        <w:rPr>
          <w:spacing w:val="-14"/>
          <w:sz w:val="24"/>
        </w:rPr>
        <w:t> </w:t>
      </w:r>
      <w:r>
        <w:rPr>
          <w:sz w:val="24"/>
        </w:rPr>
        <w:t>4,</w:t>
      </w:r>
      <w:r>
        <w:rPr>
          <w:spacing w:val="-14"/>
          <w:sz w:val="24"/>
        </w:rPr>
        <w:t> </w:t>
      </w:r>
      <w:r>
        <w:rPr>
          <w:sz w:val="24"/>
        </w:rPr>
        <w:t>warunkującą</w:t>
      </w:r>
      <w:r>
        <w:rPr>
          <w:spacing w:val="-12"/>
          <w:sz w:val="24"/>
        </w:rPr>
        <w:t> </w:t>
      </w:r>
      <w:r>
        <w:rPr>
          <w:sz w:val="24"/>
        </w:rPr>
        <w:t>zastosowanie</w:t>
      </w:r>
      <w:r>
        <w:rPr>
          <w:spacing w:val="-11"/>
          <w:sz w:val="24"/>
        </w:rPr>
        <w:t> </w:t>
      </w:r>
      <w:r>
        <w:rPr>
          <w:sz w:val="24"/>
        </w:rPr>
        <w:t>balustrad</w:t>
      </w:r>
      <w:r>
        <w:rPr>
          <w:spacing w:val="-14"/>
          <w:sz w:val="24"/>
        </w:rPr>
        <w:t> </w:t>
      </w:r>
      <w:r>
        <w:rPr>
          <w:sz w:val="24"/>
        </w:rPr>
        <w:t>od</w:t>
      </w:r>
      <w:r>
        <w:rPr>
          <w:spacing w:val="-14"/>
          <w:sz w:val="24"/>
        </w:rPr>
        <w:t> </w:t>
      </w:r>
      <w:r>
        <w:rPr>
          <w:sz w:val="24"/>
        </w:rPr>
        <w:t>sytuacji, kiedy</w:t>
      </w:r>
      <w:r>
        <w:rPr>
          <w:spacing w:val="-13"/>
          <w:sz w:val="24"/>
        </w:rPr>
        <w:t> </w:t>
      </w:r>
      <w:r>
        <w:rPr>
          <w:sz w:val="24"/>
        </w:rPr>
        <w:t>występuje</w:t>
      </w:r>
      <w:r>
        <w:rPr>
          <w:spacing w:val="-12"/>
          <w:sz w:val="24"/>
        </w:rPr>
        <w:t> </w:t>
      </w:r>
      <w:r>
        <w:rPr>
          <w:sz w:val="24"/>
        </w:rPr>
        <w:t>ryzyko</w:t>
      </w:r>
      <w:r>
        <w:rPr>
          <w:spacing w:val="-13"/>
          <w:sz w:val="24"/>
        </w:rPr>
        <w:t> </w:t>
      </w:r>
      <w:r>
        <w:rPr>
          <w:sz w:val="24"/>
        </w:rPr>
        <w:t>upadku</w:t>
      </w:r>
      <w:r>
        <w:rPr>
          <w:spacing w:val="-13"/>
          <w:sz w:val="24"/>
        </w:rPr>
        <w:t> </w:t>
      </w:r>
      <w:r>
        <w:rPr>
          <w:sz w:val="24"/>
        </w:rPr>
        <w:t>z</w:t>
      </w:r>
      <w:r>
        <w:rPr>
          <w:spacing w:val="-13"/>
          <w:sz w:val="24"/>
        </w:rPr>
        <w:t> </w:t>
      </w:r>
      <w:r>
        <w:rPr>
          <w:sz w:val="24"/>
        </w:rPr>
        <w:t>wysokości,</w:t>
      </w:r>
      <w:r>
        <w:rPr>
          <w:spacing w:val="-12"/>
          <w:sz w:val="24"/>
        </w:rPr>
        <w:t> </w:t>
      </w:r>
      <w:r>
        <w:rPr>
          <w:sz w:val="24"/>
        </w:rPr>
        <w:t>który</w:t>
      </w:r>
      <w:r>
        <w:rPr>
          <w:spacing w:val="-13"/>
          <w:sz w:val="24"/>
        </w:rPr>
        <w:t> </w:t>
      </w:r>
      <w:r>
        <w:rPr>
          <w:sz w:val="24"/>
        </w:rPr>
        <w:t>może</w:t>
      </w:r>
      <w:r>
        <w:rPr>
          <w:spacing w:val="-12"/>
          <w:sz w:val="24"/>
        </w:rPr>
        <w:t> </w:t>
      </w:r>
      <w:r>
        <w:rPr>
          <w:sz w:val="24"/>
        </w:rPr>
        <w:t>skutkować</w:t>
      </w:r>
      <w:r>
        <w:rPr>
          <w:spacing w:val="-12"/>
          <w:sz w:val="24"/>
        </w:rPr>
        <w:t> </w:t>
      </w:r>
      <w:r>
        <w:rPr>
          <w:sz w:val="24"/>
        </w:rPr>
        <w:t>utratą</w:t>
      </w:r>
      <w:r>
        <w:rPr>
          <w:spacing w:val="-12"/>
          <w:sz w:val="24"/>
        </w:rPr>
        <w:t> </w:t>
      </w:r>
      <w:r>
        <w:rPr>
          <w:sz w:val="24"/>
        </w:rPr>
        <w:t>życia</w:t>
      </w:r>
      <w:r>
        <w:rPr>
          <w:spacing w:val="-12"/>
          <w:sz w:val="24"/>
        </w:rPr>
        <w:t> </w:t>
      </w:r>
      <w:r>
        <w:rPr>
          <w:sz w:val="24"/>
        </w:rPr>
        <w:t>lub</w:t>
      </w:r>
      <w:r>
        <w:rPr>
          <w:spacing w:val="-12"/>
          <w:sz w:val="24"/>
        </w:rPr>
        <w:t> </w:t>
      </w:r>
      <w:r>
        <w:rPr>
          <w:sz w:val="24"/>
        </w:rPr>
        <w:t>trwałym uszkodzeniem ciała, nie jak było to dotychczas od położenia powyżej 0,5 m od poziomu terenu.</w:t>
      </w:r>
      <w:r>
        <w:rPr>
          <w:spacing w:val="-16"/>
          <w:sz w:val="24"/>
        </w:rPr>
        <w:t> </w:t>
      </w:r>
      <w:r>
        <w:rPr>
          <w:sz w:val="24"/>
        </w:rPr>
        <w:t>Zmiana</w:t>
      </w:r>
      <w:r>
        <w:rPr>
          <w:spacing w:val="-16"/>
          <w:sz w:val="24"/>
        </w:rPr>
        <w:t> </w:t>
      </w:r>
      <w:r>
        <w:rPr>
          <w:sz w:val="24"/>
        </w:rPr>
        <w:t>pozwala</w:t>
      </w:r>
      <w:r>
        <w:rPr>
          <w:spacing w:val="-16"/>
          <w:sz w:val="24"/>
        </w:rPr>
        <w:t> </w:t>
      </w:r>
      <w:r>
        <w:rPr>
          <w:sz w:val="24"/>
        </w:rPr>
        <w:t>na</w:t>
      </w:r>
      <w:r>
        <w:rPr>
          <w:spacing w:val="-16"/>
          <w:sz w:val="24"/>
        </w:rPr>
        <w:t> </w:t>
      </w:r>
      <w:r>
        <w:rPr>
          <w:sz w:val="24"/>
        </w:rPr>
        <w:t>dostosowaniu</w:t>
      </w:r>
      <w:r>
        <w:rPr>
          <w:spacing w:val="-16"/>
          <w:sz w:val="24"/>
        </w:rPr>
        <w:t> </w:t>
      </w:r>
      <w:r>
        <w:rPr>
          <w:sz w:val="24"/>
        </w:rPr>
        <w:t>zapisów</w:t>
      </w:r>
      <w:r>
        <w:rPr>
          <w:spacing w:val="-16"/>
          <w:sz w:val="24"/>
        </w:rPr>
        <w:t> </w:t>
      </w:r>
      <w:r>
        <w:rPr>
          <w:sz w:val="24"/>
        </w:rPr>
        <w:t>do</w:t>
      </w:r>
      <w:r>
        <w:rPr>
          <w:spacing w:val="-16"/>
          <w:sz w:val="24"/>
        </w:rPr>
        <w:t> </w:t>
      </w:r>
      <w:r>
        <w:rPr>
          <w:sz w:val="24"/>
        </w:rPr>
        <w:t>obowiązujących</w:t>
      </w:r>
      <w:r>
        <w:rPr>
          <w:spacing w:val="-16"/>
          <w:sz w:val="24"/>
        </w:rPr>
        <w:t> </w:t>
      </w:r>
      <w:r>
        <w:rPr>
          <w:sz w:val="24"/>
        </w:rPr>
        <w:t>przepisów</w:t>
      </w:r>
      <w:r>
        <w:rPr>
          <w:spacing w:val="-16"/>
          <w:sz w:val="24"/>
        </w:rPr>
        <w:t> </w:t>
      </w:r>
      <w:r>
        <w:rPr>
          <w:sz w:val="24"/>
        </w:rPr>
        <w:t>techniczno- budowlanych,  dając  jednocześnie  organom  zarządzającemu  ruchem  większą  swobodę  w podejmowaniu decyzji dotyczących zastosowania</w:t>
      </w:r>
      <w:r>
        <w:rPr>
          <w:spacing w:val="-15"/>
          <w:sz w:val="24"/>
        </w:rPr>
        <w:t> </w:t>
      </w:r>
      <w:r>
        <w:rPr>
          <w:sz w:val="24"/>
        </w:rPr>
        <w:t>balustrad.</w:t>
      </w:r>
    </w:p>
    <w:p>
      <w:pPr>
        <w:pStyle w:val="BodyText"/>
        <w:spacing w:before="0"/>
        <w:ind w:left="0"/>
        <w:jc w:val="left"/>
        <w:rPr>
          <w:sz w:val="26"/>
        </w:rPr>
      </w:pPr>
    </w:p>
    <w:p>
      <w:pPr>
        <w:pStyle w:val="ListParagraph"/>
        <w:numPr>
          <w:ilvl w:val="1"/>
          <w:numId w:val="1"/>
        </w:numPr>
        <w:tabs>
          <w:tab w:pos="377" w:val="left" w:leader="none"/>
        </w:tabs>
        <w:spacing w:line="240" w:lineRule="auto" w:before="217" w:after="0"/>
        <w:ind w:left="118" w:right="114" w:firstLine="0"/>
        <w:jc w:val="both"/>
        <w:rPr>
          <w:sz w:val="24"/>
        </w:rPr>
      </w:pPr>
      <w:r>
        <w:rPr>
          <w:sz w:val="24"/>
        </w:rPr>
        <w:t>Zmiany redakcyjne, porządkujące dotychczasowe przepisy, wpływające na ich zrozumienie oraz poprawiające czytelność dokumentu. Z </w:t>
      </w:r>
      <w:r>
        <w:rPr>
          <w:spacing w:val="3"/>
          <w:sz w:val="24"/>
        </w:rPr>
        <w:t>uwagi </w:t>
      </w:r>
      <w:r>
        <w:rPr>
          <w:sz w:val="24"/>
        </w:rPr>
        <w:t>na </w:t>
      </w:r>
      <w:r>
        <w:rPr>
          <w:spacing w:val="3"/>
          <w:sz w:val="24"/>
        </w:rPr>
        <w:t>powyższe wprowadzono następujące zmiany:</w:t>
      </w:r>
    </w:p>
    <w:p>
      <w:pPr>
        <w:pStyle w:val="ListParagraph"/>
        <w:numPr>
          <w:ilvl w:val="0"/>
          <w:numId w:val="6"/>
        </w:numPr>
        <w:tabs>
          <w:tab w:pos="475" w:val="left" w:leader="none"/>
        </w:tabs>
        <w:spacing w:line="240" w:lineRule="auto" w:before="120" w:after="0"/>
        <w:ind w:left="475" w:right="112" w:hanging="357"/>
        <w:jc w:val="both"/>
        <w:rPr>
          <w:sz w:val="24"/>
        </w:rPr>
      </w:pPr>
      <w:r>
        <w:rPr>
          <w:spacing w:val="3"/>
          <w:sz w:val="24"/>
        </w:rPr>
        <w:t>zmianę </w:t>
      </w:r>
      <w:r>
        <w:rPr>
          <w:spacing w:val="2"/>
          <w:sz w:val="24"/>
        </w:rPr>
        <w:t>pkt </w:t>
      </w:r>
      <w:r>
        <w:rPr>
          <w:spacing w:val="3"/>
          <w:sz w:val="24"/>
        </w:rPr>
        <w:t>5.2.11 </w:t>
      </w:r>
      <w:r>
        <w:rPr>
          <w:sz w:val="24"/>
        </w:rPr>
        <w:t>w </w:t>
      </w:r>
      <w:r>
        <w:rPr>
          <w:spacing w:val="3"/>
          <w:sz w:val="24"/>
        </w:rPr>
        <w:t>załączniku </w:t>
      </w:r>
      <w:r>
        <w:rPr>
          <w:sz w:val="24"/>
        </w:rPr>
        <w:t>nr 1, </w:t>
      </w:r>
      <w:r>
        <w:rPr>
          <w:spacing w:val="3"/>
          <w:sz w:val="24"/>
        </w:rPr>
        <w:t>wskazującą </w:t>
      </w:r>
      <w:r>
        <w:rPr>
          <w:sz w:val="24"/>
        </w:rPr>
        <w:t>w </w:t>
      </w:r>
      <w:r>
        <w:rPr>
          <w:spacing w:val="3"/>
          <w:sz w:val="24"/>
        </w:rPr>
        <w:t>sposób jednoznaczny możliwość oznaczenia pojazdów elektrycznych oraz napędzanych wodorem dopuszczonych </w:t>
      </w:r>
      <w:r>
        <w:rPr>
          <w:sz w:val="24"/>
        </w:rPr>
        <w:t>do  </w:t>
      </w:r>
      <w:r>
        <w:rPr>
          <w:spacing w:val="3"/>
          <w:sz w:val="24"/>
        </w:rPr>
        <w:t>ruchu </w:t>
      </w:r>
      <w:r>
        <w:rPr>
          <w:sz w:val="24"/>
        </w:rPr>
        <w:t>na </w:t>
      </w:r>
      <w:r>
        <w:rPr>
          <w:spacing w:val="3"/>
          <w:sz w:val="24"/>
        </w:rPr>
        <w:t>pasach ruchu </w:t>
      </w:r>
      <w:r>
        <w:rPr>
          <w:spacing w:val="2"/>
          <w:sz w:val="24"/>
        </w:rPr>
        <w:t>dla </w:t>
      </w:r>
      <w:r>
        <w:rPr>
          <w:spacing w:val="3"/>
          <w:sz w:val="24"/>
        </w:rPr>
        <w:t>autobusów, poprzez zastosowanie napisu </w:t>
      </w:r>
      <w:r>
        <w:rPr>
          <w:sz w:val="24"/>
        </w:rPr>
        <w:t>EV </w:t>
      </w:r>
      <w:r>
        <w:rPr>
          <w:spacing w:val="2"/>
          <w:sz w:val="24"/>
        </w:rPr>
        <w:t>lub </w:t>
      </w:r>
      <w:r>
        <w:rPr>
          <w:sz w:val="24"/>
        </w:rPr>
        <w:t>H2 </w:t>
      </w:r>
      <w:r>
        <w:rPr>
          <w:spacing w:val="3"/>
          <w:sz w:val="24"/>
        </w:rPr>
        <w:t>(analogiczne </w:t>
      </w:r>
      <w:r>
        <w:rPr>
          <w:spacing w:val="2"/>
          <w:sz w:val="24"/>
        </w:rPr>
        <w:t>jak np. </w:t>
      </w:r>
      <w:r>
        <w:rPr>
          <w:sz w:val="24"/>
        </w:rPr>
        <w:t>w </w:t>
      </w:r>
      <w:r>
        <w:rPr>
          <w:spacing w:val="3"/>
          <w:sz w:val="24"/>
        </w:rPr>
        <w:t>pkt. 5.2.4 załącznika </w:t>
      </w:r>
      <w:r>
        <w:rPr>
          <w:spacing w:val="2"/>
          <w:sz w:val="24"/>
        </w:rPr>
        <w:t>2). </w:t>
      </w:r>
      <w:r>
        <w:rPr>
          <w:spacing w:val="3"/>
          <w:sz w:val="24"/>
        </w:rPr>
        <w:t>Zmiana jest istotna </w:t>
      </w:r>
      <w:r>
        <w:rPr>
          <w:sz w:val="24"/>
        </w:rPr>
        <w:t>z </w:t>
      </w:r>
      <w:r>
        <w:rPr>
          <w:spacing w:val="3"/>
          <w:sz w:val="24"/>
        </w:rPr>
        <w:t>uwagi </w:t>
      </w:r>
      <w:r>
        <w:rPr>
          <w:sz w:val="24"/>
        </w:rPr>
        <w:t>na </w:t>
      </w:r>
      <w:r>
        <w:rPr>
          <w:spacing w:val="3"/>
          <w:sz w:val="24"/>
        </w:rPr>
        <w:t>zakończenie </w:t>
      </w:r>
      <w:r>
        <w:rPr>
          <w:sz w:val="24"/>
        </w:rPr>
        <w:t>1 </w:t>
      </w:r>
      <w:r>
        <w:rPr>
          <w:spacing w:val="3"/>
          <w:sz w:val="24"/>
        </w:rPr>
        <w:t>stycznia 2026 </w:t>
      </w:r>
      <w:r>
        <w:rPr>
          <w:sz w:val="24"/>
        </w:rPr>
        <w:t>r. </w:t>
      </w:r>
      <w:r>
        <w:rPr>
          <w:spacing w:val="3"/>
          <w:sz w:val="24"/>
        </w:rPr>
        <w:t>okresu, </w:t>
      </w:r>
      <w:r>
        <w:rPr>
          <w:sz w:val="24"/>
        </w:rPr>
        <w:t>w </w:t>
      </w:r>
      <w:r>
        <w:rPr>
          <w:spacing w:val="3"/>
          <w:sz w:val="24"/>
        </w:rPr>
        <w:t>którym </w:t>
      </w:r>
      <w:r>
        <w:rPr>
          <w:sz w:val="24"/>
        </w:rPr>
        <w:t>na </w:t>
      </w:r>
      <w:r>
        <w:rPr>
          <w:spacing w:val="3"/>
          <w:sz w:val="24"/>
        </w:rPr>
        <w:t>mocy art. 148a ustawy </w:t>
      </w:r>
      <w:r>
        <w:rPr>
          <w:sz w:val="24"/>
        </w:rPr>
        <w:t>z dnia 20 czerwca 1997 r. – </w:t>
      </w:r>
      <w:r>
        <w:rPr>
          <w:spacing w:val="3"/>
          <w:sz w:val="24"/>
        </w:rPr>
        <w:t>Prawo </w:t>
      </w:r>
      <w:r>
        <w:rPr>
          <w:sz w:val="24"/>
        </w:rPr>
        <w:t>o </w:t>
      </w:r>
      <w:r>
        <w:rPr>
          <w:spacing w:val="3"/>
          <w:sz w:val="24"/>
        </w:rPr>
        <w:t>ruchu drogowym dopuszczony jest ruch pojazdów elektrycznych oraz pojazdów napędzanych wodorem </w:t>
      </w:r>
      <w:r>
        <w:rPr>
          <w:sz w:val="24"/>
        </w:rPr>
        <w:t>po </w:t>
      </w:r>
      <w:r>
        <w:rPr>
          <w:spacing w:val="3"/>
          <w:sz w:val="24"/>
        </w:rPr>
        <w:t>pasach ruchu </w:t>
      </w:r>
      <w:r>
        <w:rPr>
          <w:spacing w:val="2"/>
          <w:sz w:val="24"/>
        </w:rPr>
        <w:t>dla </w:t>
      </w:r>
      <w:r>
        <w:rPr>
          <w:spacing w:val="25"/>
          <w:sz w:val="24"/>
        </w:rPr>
        <w:t> </w:t>
      </w:r>
      <w:r>
        <w:rPr>
          <w:spacing w:val="3"/>
          <w:sz w:val="24"/>
        </w:rPr>
        <w:t>autobusów.</w:t>
      </w:r>
    </w:p>
    <w:p>
      <w:pPr>
        <w:pStyle w:val="ListParagraph"/>
        <w:numPr>
          <w:ilvl w:val="0"/>
          <w:numId w:val="6"/>
        </w:numPr>
        <w:tabs>
          <w:tab w:pos="475" w:val="left" w:leader="none"/>
        </w:tabs>
        <w:spacing w:line="240" w:lineRule="auto" w:before="120" w:after="0"/>
        <w:ind w:left="475" w:right="117" w:hanging="357"/>
        <w:jc w:val="both"/>
        <w:rPr>
          <w:sz w:val="24"/>
        </w:rPr>
      </w:pPr>
      <w:r>
        <w:rPr>
          <w:spacing w:val="3"/>
          <w:sz w:val="24"/>
        </w:rPr>
        <w:t>zmianę </w:t>
      </w:r>
      <w:r>
        <w:rPr>
          <w:spacing w:val="2"/>
          <w:sz w:val="24"/>
        </w:rPr>
        <w:t>pkt </w:t>
      </w:r>
      <w:r>
        <w:rPr>
          <w:spacing w:val="3"/>
          <w:sz w:val="24"/>
        </w:rPr>
        <w:t>6.3.7.5 </w:t>
      </w:r>
      <w:r>
        <w:rPr>
          <w:sz w:val="24"/>
        </w:rPr>
        <w:t>w </w:t>
      </w:r>
      <w:r>
        <w:rPr>
          <w:spacing w:val="3"/>
          <w:sz w:val="24"/>
        </w:rPr>
        <w:t>załączniku </w:t>
      </w:r>
      <w:r>
        <w:rPr>
          <w:sz w:val="24"/>
        </w:rPr>
        <w:t>nr 1, </w:t>
      </w:r>
      <w:r>
        <w:rPr>
          <w:spacing w:val="3"/>
          <w:sz w:val="24"/>
        </w:rPr>
        <w:t>która wprowadza drogowskaz </w:t>
      </w:r>
      <w:r>
        <w:rPr>
          <w:sz w:val="24"/>
        </w:rPr>
        <w:t>w </w:t>
      </w:r>
      <w:r>
        <w:rPr>
          <w:spacing w:val="3"/>
          <w:sz w:val="24"/>
        </w:rPr>
        <w:t>kształcie strzały</w:t>
      </w:r>
      <w:r>
        <w:rPr>
          <w:spacing w:val="66"/>
          <w:sz w:val="24"/>
        </w:rPr>
        <w:t> </w:t>
      </w:r>
      <w:r>
        <w:rPr>
          <w:sz w:val="24"/>
        </w:rPr>
        <w:t>do </w:t>
      </w:r>
      <w:r>
        <w:rPr>
          <w:spacing w:val="3"/>
          <w:sz w:val="24"/>
        </w:rPr>
        <w:t>drogi ekspresowej. Dotychczasowe przepisy dawały możliwość oznakowania jedynie dojazdu </w:t>
      </w:r>
      <w:r>
        <w:rPr>
          <w:sz w:val="24"/>
        </w:rPr>
        <w:t>do</w:t>
      </w:r>
      <w:r>
        <w:rPr>
          <w:spacing w:val="26"/>
          <w:sz w:val="24"/>
        </w:rPr>
        <w:t> </w:t>
      </w:r>
      <w:r>
        <w:rPr>
          <w:spacing w:val="3"/>
          <w:sz w:val="24"/>
        </w:rPr>
        <w:t>autostrady;</w:t>
      </w:r>
    </w:p>
    <w:p>
      <w:pPr>
        <w:pStyle w:val="ListParagraph"/>
        <w:numPr>
          <w:ilvl w:val="0"/>
          <w:numId w:val="6"/>
        </w:numPr>
        <w:tabs>
          <w:tab w:pos="475" w:val="left" w:leader="none"/>
        </w:tabs>
        <w:spacing w:line="240" w:lineRule="auto" w:before="120" w:after="0"/>
        <w:ind w:left="475" w:right="117" w:hanging="357"/>
        <w:jc w:val="both"/>
        <w:rPr>
          <w:sz w:val="24"/>
        </w:rPr>
      </w:pPr>
      <w:r>
        <w:rPr>
          <w:spacing w:val="3"/>
          <w:sz w:val="24"/>
        </w:rPr>
        <w:t>zmianę </w:t>
      </w:r>
      <w:r>
        <w:rPr>
          <w:sz w:val="24"/>
        </w:rPr>
        <w:t>w </w:t>
      </w:r>
      <w:r>
        <w:rPr>
          <w:spacing w:val="2"/>
          <w:sz w:val="24"/>
        </w:rPr>
        <w:t>pkt </w:t>
      </w:r>
      <w:r>
        <w:rPr>
          <w:spacing w:val="3"/>
          <w:sz w:val="24"/>
        </w:rPr>
        <w:t>2.2.2 </w:t>
      </w:r>
      <w:r>
        <w:rPr>
          <w:sz w:val="24"/>
        </w:rPr>
        <w:t>w </w:t>
      </w:r>
      <w:r>
        <w:rPr>
          <w:spacing w:val="3"/>
          <w:sz w:val="24"/>
        </w:rPr>
        <w:t>załączniku </w:t>
      </w:r>
      <w:r>
        <w:rPr>
          <w:sz w:val="24"/>
        </w:rPr>
        <w:t>nr 2, </w:t>
      </w:r>
      <w:r>
        <w:rPr>
          <w:spacing w:val="3"/>
          <w:sz w:val="24"/>
        </w:rPr>
        <w:t>polegającą </w:t>
      </w:r>
      <w:r>
        <w:rPr>
          <w:sz w:val="24"/>
        </w:rPr>
        <w:t>na </w:t>
      </w:r>
      <w:r>
        <w:rPr>
          <w:spacing w:val="3"/>
          <w:sz w:val="24"/>
        </w:rPr>
        <w:t>likwidacji obowiązku stosowania linii P-7a </w:t>
      </w:r>
      <w:r>
        <w:rPr>
          <w:sz w:val="24"/>
        </w:rPr>
        <w:t>i </w:t>
      </w:r>
      <w:r>
        <w:rPr>
          <w:spacing w:val="3"/>
          <w:sz w:val="24"/>
        </w:rPr>
        <w:t>P-7b </w:t>
      </w:r>
      <w:r>
        <w:rPr>
          <w:sz w:val="24"/>
        </w:rPr>
        <w:t>o </w:t>
      </w:r>
      <w:r>
        <w:rPr>
          <w:spacing w:val="3"/>
          <w:sz w:val="24"/>
        </w:rPr>
        <w:t>szerokości 0,24 </w:t>
      </w:r>
      <w:r>
        <w:rPr>
          <w:sz w:val="24"/>
        </w:rPr>
        <w:t>m na </w:t>
      </w:r>
      <w:r>
        <w:rPr>
          <w:spacing w:val="3"/>
          <w:sz w:val="24"/>
        </w:rPr>
        <w:t>drogach </w:t>
      </w:r>
      <w:r>
        <w:rPr>
          <w:sz w:val="24"/>
        </w:rPr>
        <w:t>z </w:t>
      </w:r>
      <w:r>
        <w:rPr>
          <w:spacing w:val="3"/>
          <w:sz w:val="24"/>
        </w:rPr>
        <w:t>numerem szlaku międzynarodowego. Pozwoli </w:t>
      </w:r>
      <w:r>
        <w:rPr>
          <w:sz w:val="24"/>
        </w:rPr>
        <w:t>to na </w:t>
      </w:r>
      <w:r>
        <w:rPr>
          <w:spacing w:val="3"/>
          <w:sz w:val="24"/>
        </w:rPr>
        <w:t>ujednolicenie </w:t>
      </w:r>
      <w:r>
        <w:rPr>
          <w:sz w:val="24"/>
        </w:rPr>
        <w:t>i </w:t>
      </w:r>
      <w:r>
        <w:rPr>
          <w:spacing w:val="3"/>
          <w:sz w:val="24"/>
        </w:rPr>
        <w:t>uporządkowanie zasad stosowania linii krawędziowych szerokich </w:t>
      </w:r>
      <w:r>
        <w:rPr>
          <w:sz w:val="24"/>
        </w:rPr>
        <w:t>na </w:t>
      </w:r>
      <w:r>
        <w:rPr>
          <w:spacing w:val="3"/>
          <w:sz w:val="24"/>
        </w:rPr>
        <w:t>drogach jednojezdniowych, jednocześnie zmniejszając koszty realizacji oznakowani</w:t>
      </w:r>
      <w:r>
        <w:rPr>
          <w:spacing w:val="19"/>
          <w:sz w:val="24"/>
        </w:rPr>
        <w:t> </w:t>
      </w:r>
      <w:r>
        <w:rPr>
          <w:spacing w:val="3"/>
          <w:sz w:val="24"/>
        </w:rPr>
        <w:t>poziomego;</w:t>
      </w:r>
    </w:p>
    <w:p>
      <w:pPr>
        <w:pStyle w:val="ListParagraph"/>
        <w:numPr>
          <w:ilvl w:val="0"/>
          <w:numId w:val="6"/>
        </w:numPr>
        <w:tabs>
          <w:tab w:pos="475" w:val="left" w:leader="none"/>
        </w:tabs>
        <w:spacing w:line="240" w:lineRule="auto" w:before="120" w:after="0"/>
        <w:ind w:left="475" w:right="117" w:hanging="357"/>
        <w:jc w:val="both"/>
        <w:rPr>
          <w:sz w:val="24"/>
        </w:rPr>
      </w:pPr>
      <w:r>
        <w:rPr>
          <w:spacing w:val="3"/>
          <w:sz w:val="24"/>
        </w:rPr>
        <w:t>zmianę brzmienia </w:t>
      </w:r>
      <w:r>
        <w:rPr>
          <w:spacing w:val="2"/>
          <w:sz w:val="24"/>
        </w:rPr>
        <w:t>pkt </w:t>
      </w:r>
      <w:r>
        <w:rPr>
          <w:spacing w:val="3"/>
          <w:sz w:val="24"/>
        </w:rPr>
        <w:t>2.2.1.8 </w:t>
      </w:r>
      <w:r>
        <w:rPr>
          <w:sz w:val="24"/>
        </w:rPr>
        <w:t>w </w:t>
      </w:r>
      <w:r>
        <w:rPr>
          <w:spacing w:val="3"/>
          <w:sz w:val="24"/>
        </w:rPr>
        <w:t>załączniku </w:t>
      </w:r>
      <w:r>
        <w:rPr>
          <w:sz w:val="24"/>
        </w:rPr>
        <w:t>nr 2, </w:t>
      </w:r>
      <w:r>
        <w:rPr>
          <w:spacing w:val="3"/>
          <w:sz w:val="24"/>
        </w:rPr>
        <w:t>dającą możliwość stosowania linii P-3a </w:t>
      </w:r>
      <w:r>
        <w:rPr>
          <w:sz w:val="24"/>
        </w:rPr>
        <w:t>do </w:t>
      </w:r>
      <w:r>
        <w:rPr>
          <w:spacing w:val="3"/>
          <w:sz w:val="24"/>
        </w:rPr>
        <w:t>oddzielenia pasów włączania </w:t>
      </w:r>
      <w:r>
        <w:rPr>
          <w:sz w:val="24"/>
        </w:rPr>
        <w:t>z </w:t>
      </w:r>
      <w:r>
        <w:rPr>
          <w:spacing w:val="3"/>
          <w:sz w:val="24"/>
        </w:rPr>
        <w:t>wielopasowych łącznic </w:t>
      </w:r>
      <w:r>
        <w:rPr>
          <w:spacing w:val="2"/>
          <w:sz w:val="24"/>
        </w:rPr>
        <w:t>lub </w:t>
      </w:r>
      <w:r>
        <w:rPr>
          <w:spacing w:val="3"/>
          <w:sz w:val="24"/>
        </w:rPr>
        <w:t>jezdni zbierająco- rozprowadzających </w:t>
      </w:r>
      <w:r>
        <w:rPr>
          <w:sz w:val="24"/>
        </w:rPr>
        <w:t>do </w:t>
      </w:r>
      <w:r>
        <w:rPr>
          <w:spacing w:val="3"/>
          <w:sz w:val="24"/>
        </w:rPr>
        <w:t>jezdni głównej. Zastosowanie linii P-3a </w:t>
      </w:r>
      <w:r>
        <w:rPr>
          <w:sz w:val="24"/>
        </w:rPr>
        <w:t>da </w:t>
      </w:r>
      <w:r>
        <w:rPr>
          <w:spacing w:val="3"/>
          <w:sz w:val="24"/>
        </w:rPr>
        <w:t>możliwość prowadzenia ruchu </w:t>
      </w:r>
      <w:r>
        <w:rPr>
          <w:sz w:val="24"/>
        </w:rPr>
        <w:t>w </w:t>
      </w:r>
      <w:r>
        <w:rPr>
          <w:spacing w:val="3"/>
          <w:sz w:val="24"/>
        </w:rPr>
        <w:t>sposób ograniczający przeplatanie </w:t>
      </w:r>
      <w:r>
        <w:rPr>
          <w:spacing w:val="2"/>
          <w:sz w:val="24"/>
        </w:rPr>
        <w:t>się </w:t>
      </w:r>
      <w:r>
        <w:rPr>
          <w:spacing w:val="3"/>
          <w:sz w:val="24"/>
        </w:rPr>
        <w:t>potoków pojazdów, </w:t>
      </w:r>
      <w:r>
        <w:rPr>
          <w:sz w:val="24"/>
        </w:rPr>
        <w:t>a </w:t>
      </w:r>
      <w:r>
        <w:rPr>
          <w:spacing w:val="2"/>
          <w:sz w:val="24"/>
        </w:rPr>
        <w:t>tym </w:t>
      </w:r>
      <w:r>
        <w:rPr>
          <w:spacing w:val="3"/>
          <w:sz w:val="24"/>
        </w:rPr>
        <w:t>samym zmniejszający ilość potencjalnych konfliktów ruchowych pomiędzy </w:t>
      </w:r>
      <w:r>
        <w:rPr>
          <w:spacing w:val="14"/>
          <w:sz w:val="24"/>
        </w:rPr>
        <w:t> </w:t>
      </w:r>
      <w:r>
        <w:rPr>
          <w:spacing w:val="3"/>
          <w:sz w:val="24"/>
        </w:rPr>
        <w:t>pojazdami;</w:t>
      </w:r>
    </w:p>
    <w:p>
      <w:pPr>
        <w:spacing w:after="0" w:line="240" w:lineRule="auto"/>
        <w:jc w:val="both"/>
        <w:rPr>
          <w:sz w:val="24"/>
        </w:rPr>
        <w:sectPr>
          <w:pgSz w:w="11910" w:h="16840"/>
          <w:pgMar w:header="716" w:footer="0" w:top="900" w:bottom="280" w:left="1300" w:right="1160"/>
        </w:sectPr>
      </w:pPr>
    </w:p>
    <w:p>
      <w:pPr>
        <w:pStyle w:val="BodyText"/>
        <w:spacing w:before="0"/>
        <w:ind w:left="0"/>
        <w:jc w:val="left"/>
        <w:rPr>
          <w:sz w:val="20"/>
        </w:rPr>
      </w:pPr>
    </w:p>
    <w:p>
      <w:pPr>
        <w:pStyle w:val="BodyText"/>
        <w:spacing w:before="2"/>
        <w:ind w:left="0"/>
        <w:jc w:val="left"/>
        <w:rPr>
          <w:sz w:val="28"/>
        </w:rPr>
      </w:pPr>
    </w:p>
    <w:p>
      <w:pPr>
        <w:pStyle w:val="ListParagraph"/>
        <w:numPr>
          <w:ilvl w:val="0"/>
          <w:numId w:val="6"/>
        </w:numPr>
        <w:tabs>
          <w:tab w:pos="475" w:val="left" w:leader="none"/>
        </w:tabs>
        <w:spacing w:line="240" w:lineRule="auto" w:before="90" w:after="0"/>
        <w:ind w:left="475" w:right="116" w:hanging="357"/>
        <w:jc w:val="both"/>
        <w:rPr>
          <w:sz w:val="24"/>
        </w:rPr>
      </w:pPr>
      <w:r>
        <w:rPr>
          <w:spacing w:val="3"/>
          <w:sz w:val="24"/>
        </w:rPr>
        <w:t>zmianę </w:t>
      </w:r>
      <w:r>
        <w:rPr>
          <w:sz w:val="24"/>
        </w:rPr>
        <w:t>w </w:t>
      </w:r>
      <w:r>
        <w:rPr>
          <w:spacing w:val="2"/>
          <w:sz w:val="24"/>
        </w:rPr>
        <w:t>pkt </w:t>
      </w:r>
      <w:r>
        <w:rPr>
          <w:spacing w:val="3"/>
          <w:sz w:val="24"/>
        </w:rPr>
        <w:t>4.2.2 </w:t>
      </w:r>
      <w:r>
        <w:rPr>
          <w:sz w:val="24"/>
        </w:rPr>
        <w:t>w </w:t>
      </w:r>
      <w:r>
        <w:rPr>
          <w:spacing w:val="3"/>
          <w:sz w:val="24"/>
        </w:rPr>
        <w:t>załączniku </w:t>
      </w:r>
      <w:r>
        <w:rPr>
          <w:sz w:val="24"/>
        </w:rPr>
        <w:t>nr 2, </w:t>
      </w:r>
      <w:r>
        <w:rPr>
          <w:spacing w:val="3"/>
          <w:sz w:val="24"/>
        </w:rPr>
        <w:t>polegającą </w:t>
      </w:r>
      <w:r>
        <w:rPr>
          <w:sz w:val="24"/>
        </w:rPr>
        <w:t>na </w:t>
      </w:r>
      <w:r>
        <w:rPr>
          <w:spacing w:val="3"/>
          <w:sz w:val="24"/>
        </w:rPr>
        <w:t>wskazaniu </w:t>
      </w:r>
      <w:r>
        <w:rPr>
          <w:sz w:val="24"/>
        </w:rPr>
        <w:t>na </w:t>
      </w:r>
      <w:r>
        <w:rPr>
          <w:spacing w:val="3"/>
          <w:sz w:val="24"/>
        </w:rPr>
        <w:t>rysunku </w:t>
      </w:r>
      <w:r>
        <w:rPr>
          <w:sz w:val="24"/>
        </w:rPr>
        <w:t>nr </w:t>
      </w:r>
      <w:r>
        <w:rPr>
          <w:spacing w:val="3"/>
          <w:sz w:val="24"/>
        </w:rPr>
        <w:t>4.2.2.3 odległości </w:t>
      </w:r>
      <w:r>
        <w:rPr>
          <w:spacing w:val="2"/>
          <w:sz w:val="24"/>
        </w:rPr>
        <w:t>„s” </w:t>
      </w:r>
      <w:r>
        <w:rPr>
          <w:spacing w:val="3"/>
          <w:sz w:val="24"/>
        </w:rPr>
        <w:t>stanowiącej szerokość przejazdu </w:t>
      </w:r>
      <w:r>
        <w:rPr>
          <w:spacing w:val="2"/>
          <w:sz w:val="24"/>
        </w:rPr>
        <w:t>dla </w:t>
      </w:r>
      <w:r>
        <w:rPr>
          <w:spacing w:val="3"/>
          <w:sz w:val="24"/>
        </w:rPr>
        <w:t>rowerzystów, </w:t>
      </w:r>
      <w:r>
        <w:rPr>
          <w:sz w:val="24"/>
        </w:rPr>
        <w:t>co </w:t>
      </w:r>
      <w:r>
        <w:rPr>
          <w:spacing w:val="3"/>
          <w:sz w:val="24"/>
        </w:rPr>
        <w:t>doprecyzowuje zasady wyznaczania przejazdu </w:t>
      </w:r>
      <w:r>
        <w:rPr>
          <w:spacing w:val="2"/>
          <w:sz w:val="24"/>
        </w:rPr>
        <w:t>dla </w:t>
      </w:r>
      <w:r>
        <w:rPr>
          <w:spacing w:val="3"/>
          <w:sz w:val="24"/>
        </w:rPr>
        <w:t>rowerzystów, zarówno jedno </w:t>
      </w:r>
      <w:r>
        <w:rPr>
          <w:spacing w:val="2"/>
          <w:sz w:val="24"/>
        </w:rPr>
        <w:t>jak </w:t>
      </w:r>
      <w:r>
        <w:rPr>
          <w:sz w:val="24"/>
        </w:rPr>
        <w:t>i </w:t>
      </w:r>
      <w:r>
        <w:rPr>
          <w:spacing w:val="30"/>
          <w:sz w:val="24"/>
        </w:rPr>
        <w:t> </w:t>
      </w:r>
      <w:r>
        <w:rPr>
          <w:spacing w:val="3"/>
          <w:sz w:val="24"/>
        </w:rPr>
        <w:t>dwukierunkowego.</w:t>
      </w:r>
    </w:p>
    <w:p>
      <w:pPr>
        <w:pStyle w:val="BodyText"/>
        <w:spacing w:before="0"/>
        <w:ind w:left="0"/>
        <w:jc w:val="left"/>
        <w:rPr>
          <w:sz w:val="26"/>
        </w:rPr>
      </w:pPr>
    </w:p>
    <w:p>
      <w:pPr>
        <w:pStyle w:val="Heading1"/>
        <w:numPr>
          <w:ilvl w:val="0"/>
          <w:numId w:val="1"/>
        </w:numPr>
        <w:tabs>
          <w:tab w:pos="826" w:val="left" w:leader="none"/>
        </w:tabs>
        <w:spacing w:line="240" w:lineRule="auto" w:before="217" w:after="0"/>
        <w:ind w:left="826" w:right="0" w:hanging="708"/>
        <w:jc w:val="both"/>
      </w:pPr>
      <w:r>
        <w:rPr>
          <w:spacing w:val="3"/>
        </w:rPr>
        <w:t>Przepisy przejściowe </w:t>
      </w:r>
      <w:r>
        <w:rPr/>
        <w:t>i</w:t>
      </w:r>
      <w:r>
        <w:rPr>
          <w:spacing w:val="33"/>
        </w:rPr>
        <w:t> </w:t>
      </w:r>
      <w:r>
        <w:rPr>
          <w:spacing w:val="3"/>
        </w:rPr>
        <w:t>pozostałe</w:t>
      </w:r>
    </w:p>
    <w:p>
      <w:pPr>
        <w:pStyle w:val="BodyText"/>
        <w:ind w:left="118" w:right="115"/>
      </w:pPr>
      <w:r>
        <w:rPr>
          <w:spacing w:val="3"/>
        </w:rPr>
        <w:t>Zgodnie </w:t>
      </w:r>
      <w:r>
        <w:rPr/>
        <w:t>z </w:t>
      </w:r>
      <w:r>
        <w:rPr>
          <w:spacing w:val="3"/>
        </w:rPr>
        <w:t>projektowanym </w:t>
      </w:r>
      <w:r>
        <w:rPr/>
        <w:t>§ 2 </w:t>
      </w:r>
      <w:r>
        <w:rPr>
          <w:spacing w:val="3"/>
        </w:rPr>
        <w:t>znaki drogowe </w:t>
      </w:r>
      <w:r>
        <w:rPr/>
        <w:t>i </w:t>
      </w:r>
      <w:r>
        <w:rPr>
          <w:spacing w:val="3"/>
        </w:rPr>
        <w:t>urządzenia bezpieczeństwa ruchu drogowego niespełniające</w:t>
      </w:r>
      <w:r>
        <w:rPr>
          <w:spacing w:val="66"/>
        </w:rPr>
        <w:t> </w:t>
      </w:r>
      <w:r>
        <w:rPr>
          <w:spacing w:val="3"/>
        </w:rPr>
        <w:t>warunków</w:t>
      </w:r>
      <w:r>
        <w:rPr>
          <w:spacing w:val="66"/>
        </w:rPr>
        <w:t> </w:t>
      </w:r>
      <w:r>
        <w:rPr>
          <w:spacing w:val="3"/>
        </w:rPr>
        <w:t>określonych   </w:t>
      </w:r>
      <w:r>
        <w:rPr/>
        <w:t>w   </w:t>
      </w:r>
      <w:r>
        <w:rPr>
          <w:spacing w:val="3"/>
        </w:rPr>
        <w:t>niniejszym   rozporządzeniu   mogą   pozostać  </w:t>
      </w:r>
      <w:r>
        <w:rPr/>
        <w:t>w </w:t>
      </w:r>
      <w:r>
        <w:rPr>
          <w:spacing w:val="3"/>
        </w:rPr>
        <w:t>organizacji ruchu </w:t>
      </w:r>
      <w:r>
        <w:rPr/>
        <w:t>na </w:t>
      </w:r>
      <w:r>
        <w:rPr>
          <w:spacing w:val="3"/>
        </w:rPr>
        <w:t>drogach </w:t>
      </w:r>
      <w:r>
        <w:rPr/>
        <w:t>do </w:t>
      </w:r>
      <w:r>
        <w:rPr>
          <w:spacing w:val="3"/>
        </w:rPr>
        <w:t>czasu </w:t>
      </w:r>
      <w:r>
        <w:rPr>
          <w:spacing w:val="2"/>
        </w:rPr>
        <w:t>ich </w:t>
      </w:r>
      <w:r>
        <w:rPr>
          <w:spacing w:val="3"/>
        </w:rPr>
        <w:t>eksploatacyjnego zużycia, jednak </w:t>
      </w:r>
      <w:r>
        <w:rPr>
          <w:spacing w:val="2"/>
        </w:rPr>
        <w:t>nie </w:t>
      </w:r>
      <w:r>
        <w:rPr>
          <w:spacing w:val="3"/>
        </w:rPr>
        <w:t>dłużej </w:t>
      </w:r>
      <w:r>
        <w:rPr>
          <w:spacing w:val="2"/>
        </w:rPr>
        <w:t>niż </w:t>
      </w:r>
      <w:r>
        <w:rPr>
          <w:spacing w:val="3"/>
        </w:rPr>
        <w:t>przez </w:t>
      </w:r>
      <w:r>
        <w:rPr/>
        <w:t>10 </w:t>
      </w:r>
      <w:r>
        <w:rPr>
          <w:spacing w:val="3"/>
        </w:rPr>
        <w:t>lat. Zastosowanie okresu przejściowego zminimalizuje koszty wymiany oznakowania,   </w:t>
      </w:r>
      <w:r>
        <w:rPr>
          <w:spacing w:val="2"/>
        </w:rPr>
        <w:t>nie   </w:t>
      </w:r>
      <w:r>
        <w:rPr>
          <w:spacing w:val="3"/>
        </w:rPr>
        <w:t>wpływając    negatywnie    </w:t>
      </w:r>
      <w:r>
        <w:rPr/>
        <w:t>na    </w:t>
      </w:r>
      <w:r>
        <w:rPr>
          <w:spacing w:val="3"/>
        </w:rPr>
        <w:t>bezpieczeństwo    ruchu    drogowego.  </w:t>
      </w:r>
      <w:r>
        <w:rPr/>
        <w:t>Z </w:t>
      </w:r>
      <w:r>
        <w:rPr>
          <w:spacing w:val="3"/>
        </w:rPr>
        <w:t>doświadczeń zarządców dróg wynika, </w:t>
      </w:r>
      <w:r>
        <w:rPr/>
        <w:t>że w </w:t>
      </w:r>
      <w:r>
        <w:rPr>
          <w:spacing w:val="3"/>
        </w:rPr>
        <w:t>okresie tym, </w:t>
      </w:r>
      <w:r>
        <w:rPr/>
        <w:t>w </w:t>
      </w:r>
      <w:r>
        <w:rPr>
          <w:spacing w:val="3"/>
        </w:rPr>
        <w:t>większości przypadków, następuje wymiana znaków </w:t>
      </w:r>
      <w:r>
        <w:rPr/>
        <w:t>z </w:t>
      </w:r>
      <w:r>
        <w:rPr>
          <w:spacing w:val="3"/>
        </w:rPr>
        <w:t>uwagi </w:t>
      </w:r>
      <w:r>
        <w:rPr/>
        <w:t>na </w:t>
      </w:r>
      <w:r>
        <w:rPr>
          <w:spacing w:val="2"/>
        </w:rPr>
        <w:t>ich </w:t>
      </w:r>
      <w:r>
        <w:rPr>
          <w:spacing w:val="3"/>
        </w:rPr>
        <w:t>zniszczenie </w:t>
      </w:r>
      <w:r>
        <w:rPr>
          <w:spacing w:val="2"/>
        </w:rPr>
        <w:t>lub </w:t>
      </w:r>
      <w:r>
        <w:rPr>
          <w:spacing w:val="3"/>
        </w:rPr>
        <w:t>utratę parametrów </w:t>
      </w:r>
      <w:r>
        <w:rPr>
          <w:spacing w:val="42"/>
        </w:rPr>
        <w:t> </w:t>
      </w:r>
      <w:r>
        <w:rPr>
          <w:spacing w:val="3"/>
        </w:rPr>
        <w:t>użytkowych.</w:t>
      </w:r>
    </w:p>
    <w:p>
      <w:pPr>
        <w:pStyle w:val="BodyText"/>
        <w:ind w:left="118" w:right="116"/>
      </w:pPr>
      <w:r>
        <w:rPr/>
        <w:t>Dodatkowo ze względu na ograniczenie negatywnych skutków zmiany, poprzez projektowany § 3, pozostawiono możliwość stosowania dotychczasowych przepisów dla projektów organizacji ruchu, które zostały przedstawione do zatwierdzenia organom zarządzającym ruchem.</w:t>
      </w:r>
    </w:p>
    <w:p>
      <w:pPr>
        <w:pStyle w:val="BodyText"/>
        <w:ind w:left="118" w:right="115"/>
      </w:pPr>
      <w:r>
        <w:rPr>
          <w:spacing w:val="3"/>
        </w:rPr>
        <w:t>Proponuje się, </w:t>
      </w:r>
      <w:r>
        <w:rPr>
          <w:spacing w:val="2"/>
        </w:rPr>
        <w:t>aby </w:t>
      </w:r>
      <w:r>
        <w:rPr>
          <w:spacing w:val="3"/>
        </w:rPr>
        <w:t>projektowane rozporządzenie weszło </w:t>
      </w:r>
      <w:r>
        <w:rPr/>
        <w:t>w </w:t>
      </w:r>
      <w:r>
        <w:rPr>
          <w:spacing w:val="3"/>
        </w:rPr>
        <w:t>życie </w:t>
      </w:r>
      <w:r>
        <w:rPr/>
        <w:t>po </w:t>
      </w:r>
      <w:r>
        <w:rPr>
          <w:spacing w:val="3"/>
        </w:rPr>
        <w:t>upływie </w:t>
      </w:r>
      <w:r>
        <w:rPr/>
        <w:t>14 </w:t>
      </w:r>
      <w:r>
        <w:rPr>
          <w:spacing w:val="2"/>
        </w:rPr>
        <w:t>dni </w:t>
      </w:r>
      <w:r>
        <w:rPr/>
        <w:t>od </w:t>
      </w:r>
      <w:r>
        <w:rPr>
          <w:spacing w:val="3"/>
        </w:rPr>
        <w:t>dnia ogłoszenia, </w:t>
      </w:r>
      <w:r>
        <w:rPr/>
        <w:t>ze </w:t>
      </w:r>
      <w:r>
        <w:rPr>
          <w:spacing w:val="3"/>
        </w:rPr>
        <w:t>względu </w:t>
      </w:r>
      <w:r>
        <w:rPr/>
        <w:t>na </w:t>
      </w:r>
      <w:r>
        <w:rPr>
          <w:spacing w:val="3"/>
        </w:rPr>
        <w:t>fakt, </w:t>
      </w:r>
      <w:r>
        <w:rPr/>
        <w:t>że </w:t>
      </w:r>
      <w:r>
        <w:rPr>
          <w:spacing w:val="3"/>
        </w:rPr>
        <w:t>przedmiotowe przepisy będą dotyczyły przede wszystkim zarządców dróg </w:t>
      </w:r>
      <w:r>
        <w:rPr/>
        <w:t>i </w:t>
      </w:r>
      <w:r>
        <w:rPr>
          <w:spacing w:val="3"/>
        </w:rPr>
        <w:t>organów zarządzających ruchem</w:t>
      </w:r>
      <w:r>
        <w:rPr>
          <w:spacing w:val="59"/>
        </w:rPr>
        <w:t> </w:t>
      </w:r>
      <w:r>
        <w:rPr>
          <w:spacing w:val="3"/>
        </w:rPr>
        <w:t>drogowym.</w:t>
      </w:r>
    </w:p>
    <w:p>
      <w:pPr>
        <w:pStyle w:val="BodyText"/>
        <w:ind w:left="118" w:right="117"/>
      </w:pPr>
      <w:r>
        <w:rPr>
          <w:spacing w:val="3"/>
        </w:rPr>
        <w:t>Projekt rozporządzenia </w:t>
      </w:r>
      <w:r>
        <w:rPr>
          <w:spacing w:val="2"/>
        </w:rPr>
        <w:t>nie </w:t>
      </w:r>
      <w:r>
        <w:rPr>
          <w:spacing w:val="3"/>
        </w:rPr>
        <w:t>zawiera przepisów technicznych </w:t>
      </w:r>
      <w:r>
        <w:rPr/>
        <w:t>i </w:t>
      </w:r>
      <w:r>
        <w:rPr>
          <w:spacing w:val="2"/>
        </w:rPr>
        <w:t>nie </w:t>
      </w:r>
      <w:r>
        <w:rPr>
          <w:spacing w:val="3"/>
        </w:rPr>
        <w:t>podlega notyfikacji</w:t>
      </w:r>
      <w:r>
        <w:rPr>
          <w:spacing w:val="-39"/>
        </w:rPr>
        <w:t> </w:t>
      </w:r>
      <w:r>
        <w:rPr>
          <w:spacing w:val="3"/>
        </w:rPr>
        <w:t>Komisji Europejskiej zgodnie </w:t>
      </w:r>
      <w:r>
        <w:rPr/>
        <w:t>z </w:t>
      </w:r>
      <w:r>
        <w:rPr>
          <w:spacing w:val="3"/>
        </w:rPr>
        <w:t>trybem przewidzianym </w:t>
      </w:r>
      <w:r>
        <w:rPr/>
        <w:t>w </w:t>
      </w:r>
      <w:r>
        <w:rPr>
          <w:spacing w:val="3"/>
        </w:rPr>
        <w:t>rozporządzeniu Rady Ministrów </w:t>
      </w:r>
      <w:r>
        <w:rPr/>
        <w:t>z </w:t>
      </w:r>
      <w:r>
        <w:rPr>
          <w:spacing w:val="3"/>
        </w:rPr>
        <w:t>dnia     </w:t>
      </w:r>
      <w:r>
        <w:rPr/>
        <w:t>23 </w:t>
      </w:r>
      <w:r>
        <w:rPr>
          <w:spacing w:val="3"/>
        </w:rPr>
        <w:t>grudnia 2002 </w:t>
      </w:r>
      <w:r>
        <w:rPr/>
        <w:t>r. w </w:t>
      </w:r>
      <w:r>
        <w:rPr>
          <w:spacing w:val="3"/>
        </w:rPr>
        <w:t>sprawie sposobu funkcjonowania krajowego systemu notyfikacji norm  </w:t>
      </w:r>
      <w:r>
        <w:rPr/>
        <w:t>i </w:t>
      </w:r>
      <w:r>
        <w:rPr>
          <w:spacing w:val="3"/>
        </w:rPr>
        <w:t>aktów prawnych (Dz. </w:t>
      </w:r>
      <w:r>
        <w:rPr/>
        <w:t>U.  </w:t>
      </w:r>
      <w:r>
        <w:rPr>
          <w:spacing w:val="3"/>
        </w:rPr>
        <w:t>poz. 2039, </w:t>
      </w:r>
      <w:r>
        <w:rPr/>
        <w:t>z </w:t>
      </w:r>
      <w:r>
        <w:rPr>
          <w:spacing w:val="3"/>
        </w:rPr>
        <w:t>późn. </w:t>
      </w:r>
      <w:r>
        <w:rPr>
          <w:spacing w:val="9"/>
        </w:rPr>
        <w:t> </w:t>
      </w:r>
      <w:r>
        <w:rPr>
          <w:spacing w:val="3"/>
        </w:rPr>
        <w:t>zm.).</w:t>
      </w:r>
    </w:p>
    <w:p>
      <w:pPr>
        <w:pStyle w:val="BodyText"/>
        <w:ind w:left="118" w:right="116"/>
      </w:pPr>
      <w:r>
        <w:rPr>
          <w:spacing w:val="3"/>
        </w:rPr>
        <w:t>Zgodnie </w:t>
      </w:r>
      <w:r>
        <w:rPr/>
        <w:t>z </w:t>
      </w:r>
      <w:r>
        <w:rPr>
          <w:spacing w:val="3"/>
        </w:rPr>
        <w:t>ustawą </w:t>
      </w:r>
      <w:r>
        <w:rPr/>
        <w:t>z </w:t>
      </w:r>
      <w:r>
        <w:rPr>
          <w:spacing w:val="3"/>
        </w:rPr>
        <w:t>dnia </w:t>
      </w:r>
      <w:r>
        <w:rPr/>
        <w:t>7 </w:t>
      </w:r>
      <w:r>
        <w:rPr>
          <w:spacing w:val="3"/>
        </w:rPr>
        <w:t>lipca 2005 </w:t>
      </w:r>
      <w:r>
        <w:rPr/>
        <w:t>r. o </w:t>
      </w:r>
      <w:r>
        <w:rPr>
          <w:spacing w:val="3"/>
        </w:rPr>
        <w:t>działalności lobbingowej </w:t>
      </w:r>
      <w:r>
        <w:rPr/>
        <w:t>w </w:t>
      </w:r>
      <w:r>
        <w:rPr>
          <w:spacing w:val="3"/>
        </w:rPr>
        <w:t>procesie stanowienia prawa (Dz. </w:t>
      </w:r>
      <w:r>
        <w:rPr/>
        <w:t>U. z </w:t>
      </w:r>
      <w:r>
        <w:rPr>
          <w:spacing w:val="3"/>
        </w:rPr>
        <w:t>2017 </w:t>
      </w:r>
      <w:r>
        <w:rPr/>
        <w:t>r. </w:t>
      </w:r>
      <w:r>
        <w:rPr>
          <w:spacing w:val="3"/>
        </w:rPr>
        <w:t>poz. 248, </w:t>
      </w:r>
      <w:r>
        <w:rPr/>
        <w:t>z </w:t>
      </w:r>
      <w:r>
        <w:rPr>
          <w:spacing w:val="3"/>
        </w:rPr>
        <w:t>późn. zm.) projekt rozporządzenia został udostępniony</w:t>
      </w:r>
      <w:r>
        <w:rPr>
          <w:spacing w:val="66"/>
        </w:rPr>
        <w:t> </w:t>
      </w:r>
      <w:r>
        <w:rPr/>
        <w:t>na </w:t>
      </w:r>
      <w:r>
        <w:rPr>
          <w:spacing w:val="3"/>
        </w:rPr>
        <w:t>stronach urzędowego informatora teleinformatycznego Biuletyn Informacji </w:t>
      </w:r>
      <w:r>
        <w:rPr>
          <w:spacing w:val="29"/>
        </w:rPr>
        <w:t> </w:t>
      </w:r>
      <w:r>
        <w:rPr>
          <w:spacing w:val="3"/>
        </w:rPr>
        <w:t>Publicznej.</w:t>
      </w:r>
    </w:p>
    <w:p>
      <w:pPr>
        <w:pStyle w:val="BodyText"/>
        <w:ind w:left="118" w:right="117"/>
      </w:pPr>
      <w:r>
        <w:rPr/>
        <w:t>Mając na uwadze § 52 uchwały nr 190 Rady Ministrów z dnia 29 października 2013 r. – Regulamin pracy Rady Ministrów (M.P. z 2024 r. poz. 806, z późn. zm.) projekt rozporządzenia został zamieszczony w Biuletynie Informacji Publicznej na stronie podmiotowej Rządowego Centrum Legislacji w serwisie Rządowy Proces Legislacyjny z dniem skierowania projektu do uzgodnień i konsultacji  publicznych.</w:t>
      </w:r>
    </w:p>
    <w:p>
      <w:pPr>
        <w:pStyle w:val="BodyText"/>
        <w:ind w:left="118" w:right="111" w:firstLine="64"/>
      </w:pPr>
      <w:r>
        <w:rPr/>
        <w:t>Projekt</w:t>
      </w:r>
      <w:r>
        <w:rPr>
          <w:spacing w:val="-12"/>
        </w:rPr>
        <w:t> </w:t>
      </w:r>
      <w:r>
        <w:rPr/>
        <w:t>rozporządzenia</w:t>
      </w:r>
      <w:r>
        <w:rPr>
          <w:spacing w:val="-11"/>
        </w:rPr>
        <w:t> </w:t>
      </w:r>
      <w:r>
        <w:rPr/>
        <w:t>nie</w:t>
      </w:r>
      <w:r>
        <w:rPr>
          <w:spacing w:val="-12"/>
        </w:rPr>
        <w:t> </w:t>
      </w:r>
      <w:r>
        <w:rPr/>
        <w:t>wymaga</w:t>
      </w:r>
      <w:r>
        <w:rPr>
          <w:spacing w:val="-12"/>
        </w:rPr>
        <w:t> </w:t>
      </w:r>
      <w:r>
        <w:rPr/>
        <w:t>zasięgnięcia</w:t>
      </w:r>
      <w:r>
        <w:rPr>
          <w:spacing w:val="-10"/>
        </w:rPr>
        <w:t> </w:t>
      </w:r>
      <w:r>
        <w:rPr/>
        <w:t>opinii,</w:t>
      </w:r>
      <w:r>
        <w:rPr>
          <w:spacing w:val="-12"/>
        </w:rPr>
        <w:t> </w:t>
      </w:r>
      <w:r>
        <w:rPr/>
        <w:t>dokonania</w:t>
      </w:r>
      <w:r>
        <w:rPr>
          <w:spacing w:val="-12"/>
        </w:rPr>
        <w:t> </w:t>
      </w:r>
      <w:r>
        <w:rPr/>
        <w:t>konsultacji</w:t>
      </w:r>
      <w:r>
        <w:rPr>
          <w:spacing w:val="-12"/>
        </w:rPr>
        <w:t> </w:t>
      </w:r>
      <w:r>
        <w:rPr/>
        <w:t>oraz</w:t>
      </w:r>
      <w:r>
        <w:rPr>
          <w:spacing w:val="-12"/>
        </w:rPr>
        <w:t> </w:t>
      </w:r>
      <w:r>
        <w:rPr/>
        <w:t>uzgodnienia z właściwymi organami i instytucjami Unii Europejskiej, w tym Europejskim Bankiem Centralnym.</w:t>
      </w:r>
    </w:p>
    <w:p>
      <w:pPr>
        <w:pStyle w:val="BodyText"/>
        <w:ind w:left="118"/>
      </w:pPr>
      <w:r>
        <w:rPr/>
        <w:t>Projekt rozporządzenia nie jest sprzeczny z prawem Unii  Europejskiej.</w:t>
      </w:r>
    </w:p>
    <w:sectPr>
      <w:pgSz w:w="11910" w:h="16840"/>
      <w:pgMar w:header="716" w:footer="0" w:top="900" w:bottom="280" w:left="1300" w:right="1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EE"/>
    <w:family w:val="roman"/>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jc w:val="left"/>
      <w:rPr>
        <w:sz w:val="20"/>
      </w:rPr>
    </w:pPr>
    <w:r>
      <w:rPr/>
      <w:pict>
        <v:shapetype id="_x0000_t202" o:spt="202" coordsize="21600,21600" path="m,l,21600r21600,l21600,xe">
          <v:stroke joinstyle="miter"/>
          <v:path gradientshapeok="t" o:connecttype="rect"/>
        </v:shapetype>
        <v:shape style="position:absolute;margin-left:291.25pt;margin-top:34.831982pt;width:20pt;height:12pt;mso-position-horizontal-relative:page;mso-position-vertical-relative:page;z-index:-4384" type="#_x0000_t202" filled="false" stroked="false">
          <v:textbox inset="0,0,0,0">
            <w:txbxContent>
              <w:p>
                <w:pPr>
                  <w:spacing w:before="12"/>
                  <w:ind w:left="20" w:right="0" w:firstLine="0"/>
                  <w:jc w:val="left"/>
                  <w:rPr>
                    <w:sz w:val="18"/>
                  </w:rPr>
                </w:pPr>
                <w:r>
                  <w:rPr>
                    <w:sz w:val="18"/>
                  </w:rPr>
                  <w:t>– </w:t>
                </w:r>
                <w:r>
                  <w:rPr/>
                  <w:fldChar w:fldCharType="begin"/>
                </w:r>
                <w:r>
                  <w:rPr>
                    <w:sz w:val="18"/>
                  </w:rPr>
                  <w:instrText> PAGE </w:instrText>
                </w:r>
                <w:r>
                  <w:rPr/>
                  <w:fldChar w:fldCharType="separate"/>
                </w:r>
                <w:r>
                  <w:rPr/>
                  <w:t>2</w:t>
                </w:r>
                <w:r>
                  <w:rPr/>
                  <w:fldChar w:fldCharType="end"/>
                </w:r>
                <w:r>
                  <w:rPr>
                    <w:sz w:val="18"/>
                  </w:rPr>
                  <w:t> –</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475" w:hanging="357"/>
        <w:jc w:val="left"/>
      </w:pPr>
      <w:rPr>
        <w:rFonts w:hint="default" w:ascii="Times New Roman" w:hAnsi="Times New Roman" w:eastAsia="Times New Roman" w:cs="Times New Roman"/>
        <w:spacing w:val="-27"/>
        <w:w w:val="99"/>
        <w:sz w:val="24"/>
        <w:szCs w:val="24"/>
      </w:rPr>
    </w:lvl>
    <w:lvl w:ilvl="1">
      <w:start w:val="0"/>
      <w:numFmt w:val="bullet"/>
      <w:lvlText w:val="•"/>
      <w:lvlJc w:val="left"/>
      <w:pPr>
        <w:ind w:left="1376" w:hanging="357"/>
      </w:pPr>
      <w:rPr>
        <w:rFonts w:hint="default"/>
      </w:rPr>
    </w:lvl>
    <w:lvl w:ilvl="2">
      <w:start w:val="0"/>
      <w:numFmt w:val="bullet"/>
      <w:lvlText w:val="•"/>
      <w:lvlJc w:val="left"/>
      <w:pPr>
        <w:ind w:left="2273" w:hanging="357"/>
      </w:pPr>
      <w:rPr>
        <w:rFonts w:hint="default"/>
      </w:rPr>
    </w:lvl>
    <w:lvl w:ilvl="3">
      <w:start w:val="0"/>
      <w:numFmt w:val="bullet"/>
      <w:lvlText w:val="•"/>
      <w:lvlJc w:val="left"/>
      <w:pPr>
        <w:ind w:left="3169" w:hanging="357"/>
      </w:pPr>
      <w:rPr>
        <w:rFonts w:hint="default"/>
      </w:rPr>
    </w:lvl>
    <w:lvl w:ilvl="4">
      <w:start w:val="0"/>
      <w:numFmt w:val="bullet"/>
      <w:lvlText w:val="•"/>
      <w:lvlJc w:val="left"/>
      <w:pPr>
        <w:ind w:left="4066" w:hanging="357"/>
      </w:pPr>
      <w:rPr>
        <w:rFonts w:hint="default"/>
      </w:rPr>
    </w:lvl>
    <w:lvl w:ilvl="5">
      <w:start w:val="0"/>
      <w:numFmt w:val="bullet"/>
      <w:lvlText w:val="•"/>
      <w:lvlJc w:val="left"/>
      <w:pPr>
        <w:ind w:left="4963" w:hanging="357"/>
      </w:pPr>
      <w:rPr>
        <w:rFonts w:hint="default"/>
      </w:rPr>
    </w:lvl>
    <w:lvl w:ilvl="6">
      <w:start w:val="0"/>
      <w:numFmt w:val="bullet"/>
      <w:lvlText w:val="•"/>
      <w:lvlJc w:val="left"/>
      <w:pPr>
        <w:ind w:left="5859" w:hanging="357"/>
      </w:pPr>
      <w:rPr>
        <w:rFonts w:hint="default"/>
      </w:rPr>
    </w:lvl>
    <w:lvl w:ilvl="7">
      <w:start w:val="0"/>
      <w:numFmt w:val="bullet"/>
      <w:lvlText w:val="•"/>
      <w:lvlJc w:val="left"/>
      <w:pPr>
        <w:ind w:left="6756" w:hanging="357"/>
      </w:pPr>
      <w:rPr>
        <w:rFonts w:hint="default"/>
      </w:rPr>
    </w:lvl>
    <w:lvl w:ilvl="8">
      <w:start w:val="0"/>
      <w:numFmt w:val="bullet"/>
      <w:lvlText w:val="•"/>
      <w:lvlJc w:val="left"/>
      <w:pPr>
        <w:ind w:left="7652" w:hanging="357"/>
      </w:pPr>
      <w:rPr>
        <w:rFonts w:hint="default"/>
      </w:rPr>
    </w:lvl>
  </w:abstractNum>
  <w:abstractNum w:abstractNumId="4">
    <w:multiLevelType w:val="hybridMultilevel"/>
    <w:lvl w:ilvl="0">
      <w:start w:val="1"/>
      <w:numFmt w:val="decimal"/>
      <w:lvlText w:val="%1)"/>
      <w:lvlJc w:val="left"/>
      <w:pPr>
        <w:ind w:left="475" w:hanging="357"/>
        <w:jc w:val="left"/>
      </w:pPr>
      <w:rPr>
        <w:rFonts w:hint="default" w:ascii="Times New Roman" w:hAnsi="Times New Roman" w:eastAsia="Times New Roman" w:cs="Times New Roman"/>
        <w:spacing w:val="-27"/>
        <w:w w:val="99"/>
        <w:sz w:val="24"/>
        <w:szCs w:val="24"/>
      </w:rPr>
    </w:lvl>
    <w:lvl w:ilvl="1">
      <w:start w:val="0"/>
      <w:numFmt w:val="bullet"/>
      <w:lvlText w:val="•"/>
      <w:lvlJc w:val="left"/>
      <w:pPr>
        <w:ind w:left="1376" w:hanging="357"/>
      </w:pPr>
      <w:rPr>
        <w:rFonts w:hint="default"/>
      </w:rPr>
    </w:lvl>
    <w:lvl w:ilvl="2">
      <w:start w:val="0"/>
      <w:numFmt w:val="bullet"/>
      <w:lvlText w:val="•"/>
      <w:lvlJc w:val="left"/>
      <w:pPr>
        <w:ind w:left="2273" w:hanging="357"/>
      </w:pPr>
      <w:rPr>
        <w:rFonts w:hint="default"/>
      </w:rPr>
    </w:lvl>
    <w:lvl w:ilvl="3">
      <w:start w:val="0"/>
      <w:numFmt w:val="bullet"/>
      <w:lvlText w:val="•"/>
      <w:lvlJc w:val="left"/>
      <w:pPr>
        <w:ind w:left="3169" w:hanging="357"/>
      </w:pPr>
      <w:rPr>
        <w:rFonts w:hint="default"/>
      </w:rPr>
    </w:lvl>
    <w:lvl w:ilvl="4">
      <w:start w:val="0"/>
      <w:numFmt w:val="bullet"/>
      <w:lvlText w:val="•"/>
      <w:lvlJc w:val="left"/>
      <w:pPr>
        <w:ind w:left="4066" w:hanging="357"/>
      </w:pPr>
      <w:rPr>
        <w:rFonts w:hint="default"/>
      </w:rPr>
    </w:lvl>
    <w:lvl w:ilvl="5">
      <w:start w:val="0"/>
      <w:numFmt w:val="bullet"/>
      <w:lvlText w:val="•"/>
      <w:lvlJc w:val="left"/>
      <w:pPr>
        <w:ind w:left="4963" w:hanging="357"/>
      </w:pPr>
      <w:rPr>
        <w:rFonts w:hint="default"/>
      </w:rPr>
    </w:lvl>
    <w:lvl w:ilvl="6">
      <w:start w:val="0"/>
      <w:numFmt w:val="bullet"/>
      <w:lvlText w:val="•"/>
      <w:lvlJc w:val="left"/>
      <w:pPr>
        <w:ind w:left="5859" w:hanging="357"/>
      </w:pPr>
      <w:rPr>
        <w:rFonts w:hint="default"/>
      </w:rPr>
    </w:lvl>
    <w:lvl w:ilvl="7">
      <w:start w:val="0"/>
      <w:numFmt w:val="bullet"/>
      <w:lvlText w:val="•"/>
      <w:lvlJc w:val="left"/>
      <w:pPr>
        <w:ind w:left="6756" w:hanging="357"/>
      </w:pPr>
      <w:rPr>
        <w:rFonts w:hint="default"/>
      </w:rPr>
    </w:lvl>
    <w:lvl w:ilvl="8">
      <w:start w:val="0"/>
      <w:numFmt w:val="bullet"/>
      <w:lvlText w:val="•"/>
      <w:lvlJc w:val="left"/>
      <w:pPr>
        <w:ind w:left="7652" w:hanging="357"/>
      </w:pPr>
      <w:rPr>
        <w:rFonts w:hint="default"/>
      </w:rPr>
    </w:lvl>
  </w:abstractNum>
  <w:abstractNum w:abstractNumId="3">
    <w:multiLevelType w:val="hybridMultilevel"/>
    <w:lvl w:ilvl="0">
      <w:start w:val="1"/>
      <w:numFmt w:val="decimal"/>
      <w:lvlText w:val="%1)"/>
      <w:lvlJc w:val="left"/>
      <w:pPr>
        <w:ind w:left="475" w:hanging="357"/>
        <w:jc w:val="left"/>
      </w:pPr>
      <w:rPr>
        <w:rFonts w:hint="default" w:ascii="Times New Roman" w:hAnsi="Times New Roman" w:eastAsia="Times New Roman" w:cs="Times New Roman"/>
        <w:spacing w:val="-23"/>
        <w:w w:val="99"/>
        <w:sz w:val="24"/>
        <w:szCs w:val="24"/>
      </w:rPr>
    </w:lvl>
    <w:lvl w:ilvl="1">
      <w:start w:val="0"/>
      <w:numFmt w:val="bullet"/>
      <w:lvlText w:val="•"/>
      <w:lvlJc w:val="left"/>
      <w:pPr>
        <w:ind w:left="1376" w:hanging="357"/>
      </w:pPr>
      <w:rPr>
        <w:rFonts w:hint="default"/>
      </w:rPr>
    </w:lvl>
    <w:lvl w:ilvl="2">
      <w:start w:val="0"/>
      <w:numFmt w:val="bullet"/>
      <w:lvlText w:val="•"/>
      <w:lvlJc w:val="left"/>
      <w:pPr>
        <w:ind w:left="2273" w:hanging="357"/>
      </w:pPr>
      <w:rPr>
        <w:rFonts w:hint="default"/>
      </w:rPr>
    </w:lvl>
    <w:lvl w:ilvl="3">
      <w:start w:val="0"/>
      <w:numFmt w:val="bullet"/>
      <w:lvlText w:val="•"/>
      <w:lvlJc w:val="left"/>
      <w:pPr>
        <w:ind w:left="3169" w:hanging="357"/>
      </w:pPr>
      <w:rPr>
        <w:rFonts w:hint="default"/>
      </w:rPr>
    </w:lvl>
    <w:lvl w:ilvl="4">
      <w:start w:val="0"/>
      <w:numFmt w:val="bullet"/>
      <w:lvlText w:val="•"/>
      <w:lvlJc w:val="left"/>
      <w:pPr>
        <w:ind w:left="4066" w:hanging="357"/>
      </w:pPr>
      <w:rPr>
        <w:rFonts w:hint="default"/>
      </w:rPr>
    </w:lvl>
    <w:lvl w:ilvl="5">
      <w:start w:val="0"/>
      <w:numFmt w:val="bullet"/>
      <w:lvlText w:val="•"/>
      <w:lvlJc w:val="left"/>
      <w:pPr>
        <w:ind w:left="4963" w:hanging="357"/>
      </w:pPr>
      <w:rPr>
        <w:rFonts w:hint="default"/>
      </w:rPr>
    </w:lvl>
    <w:lvl w:ilvl="6">
      <w:start w:val="0"/>
      <w:numFmt w:val="bullet"/>
      <w:lvlText w:val="•"/>
      <w:lvlJc w:val="left"/>
      <w:pPr>
        <w:ind w:left="5859" w:hanging="357"/>
      </w:pPr>
      <w:rPr>
        <w:rFonts w:hint="default"/>
      </w:rPr>
    </w:lvl>
    <w:lvl w:ilvl="7">
      <w:start w:val="0"/>
      <w:numFmt w:val="bullet"/>
      <w:lvlText w:val="•"/>
      <w:lvlJc w:val="left"/>
      <w:pPr>
        <w:ind w:left="6756" w:hanging="357"/>
      </w:pPr>
      <w:rPr>
        <w:rFonts w:hint="default"/>
      </w:rPr>
    </w:lvl>
    <w:lvl w:ilvl="8">
      <w:start w:val="0"/>
      <w:numFmt w:val="bullet"/>
      <w:lvlText w:val="•"/>
      <w:lvlJc w:val="left"/>
      <w:pPr>
        <w:ind w:left="7652" w:hanging="357"/>
      </w:pPr>
      <w:rPr>
        <w:rFonts w:hint="default"/>
      </w:rPr>
    </w:lvl>
  </w:abstractNum>
  <w:abstractNum w:abstractNumId="2">
    <w:multiLevelType w:val="hybridMultilevel"/>
    <w:lvl w:ilvl="0">
      <w:start w:val="1"/>
      <w:numFmt w:val="decimal"/>
      <w:lvlText w:val="%1)"/>
      <w:lvlJc w:val="left"/>
      <w:pPr>
        <w:ind w:left="475" w:hanging="357"/>
        <w:jc w:val="left"/>
      </w:pPr>
      <w:rPr>
        <w:rFonts w:hint="default" w:ascii="Times New Roman" w:hAnsi="Times New Roman" w:eastAsia="Times New Roman" w:cs="Times New Roman"/>
        <w:spacing w:val="-23"/>
        <w:w w:val="99"/>
        <w:sz w:val="24"/>
        <w:szCs w:val="24"/>
      </w:rPr>
    </w:lvl>
    <w:lvl w:ilvl="1">
      <w:start w:val="0"/>
      <w:numFmt w:val="bullet"/>
      <w:lvlText w:val="•"/>
      <w:lvlJc w:val="left"/>
      <w:pPr>
        <w:ind w:left="1376" w:hanging="357"/>
      </w:pPr>
      <w:rPr>
        <w:rFonts w:hint="default"/>
      </w:rPr>
    </w:lvl>
    <w:lvl w:ilvl="2">
      <w:start w:val="0"/>
      <w:numFmt w:val="bullet"/>
      <w:lvlText w:val="•"/>
      <w:lvlJc w:val="left"/>
      <w:pPr>
        <w:ind w:left="2273" w:hanging="357"/>
      </w:pPr>
      <w:rPr>
        <w:rFonts w:hint="default"/>
      </w:rPr>
    </w:lvl>
    <w:lvl w:ilvl="3">
      <w:start w:val="0"/>
      <w:numFmt w:val="bullet"/>
      <w:lvlText w:val="•"/>
      <w:lvlJc w:val="left"/>
      <w:pPr>
        <w:ind w:left="3169" w:hanging="357"/>
      </w:pPr>
      <w:rPr>
        <w:rFonts w:hint="default"/>
      </w:rPr>
    </w:lvl>
    <w:lvl w:ilvl="4">
      <w:start w:val="0"/>
      <w:numFmt w:val="bullet"/>
      <w:lvlText w:val="•"/>
      <w:lvlJc w:val="left"/>
      <w:pPr>
        <w:ind w:left="4066" w:hanging="357"/>
      </w:pPr>
      <w:rPr>
        <w:rFonts w:hint="default"/>
      </w:rPr>
    </w:lvl>
    <w:lvl w:ilvl="5">
      <w:start w:val="0"/>
      <w:numFmt w:val="bullet"/>
      <w:lvlText w:val="•"/>
      <w:lvlJc w:val="left"/>
      <w:pPr>
        <w:ind w:left="4963" w:hanging="357"/>
      </w:pPr>
      <w:rPr>
        <w:rFonts w:hint="default"/>
      </w:rPr>
    </w:lvl>
    <w:lvl w:ilvl="6">
      <w:start w:val="0"/>
      <w:numFmt w:val="bullet"/>
      <w:lvlText w:val="•"/>
      <w:lvlJc w:val="left"/>
      <w:pPr>
        <w:ind w:left="5859" w:hanging="357"/>
      </w:pPr>
      <w:rPr>
        <w:rFonts w:hint="default"/>
      </w:rPr>
    </w:lvl>
    <w:lvl w:ilvl="7">
      <w:start w:val="0"/>
      <w:numFmt w:val="bullet"/>
      <w:lvlText w:val="•"/>
      <w:lvlJc w:val="left"/>
      <w:pPr>
        <w:ind w:left="6756" w:hanging="357"/>
      </w:pPr>
      <w:rPr>
        <w:rFonts w:hint="default"/>
      </w:rPr>
    </w:lvl>
    <w:lvl w:ilvl="8">
      <w:start w:val="0"/>
      <w:numFmt w:val="bullet"/>
      <w:lvlText w:val="•"/>
      <w:lvlJc w:val="left"/>
      <w:pPr>
        <w:ind w:left="7652" w:hanging="357"/>
      </w:pPr>
      <w:rPr>
        <w:rFonts w:hint="default"/>
      </w:rPr>
    </w:lvl>
  </w:abstractNum>
  <w:abstractNum w:abstractNumId="1">
    <w:multiLevelType w:val="hybridMultilevel"/>
    <w:lvl w:ilvl="0">
      <w:start w:val="1"/>
      <w:numFmt w:val="decimal"/>
      <w:lvlText w:val="%1)"/>
      <w:lvlJc w:val="left"/>
      <w:pPr>
        <w:ind w:left="475" w:hanging="357"/>
        <w:jc w:val="left"/>
      </w:pPr>
      <w:rPr>
        <w:rFonts w:hint="default" w:ascii="Times New Roman" w:hAnsi="Times New Roman" w:eastAsia="Times New Roman" w:cs="Times New Roman"/>
        <w:spacing w:val="-23"/>
        <w:w w:val="99"/>
        <w:sz w:val="24"/>
        <w:szCs w:val="24"/>
      </w:rPr>
    </w:lvl>
    <w:lvl w:ilvl="1">
      <w:start w:val="0"/>
      <w:numFmt w:val="bullet"/>
      <w:lvlText w:val=""/>
      <w:lvlJc w:val="left"/>
      <w:pPr>
        <w:ind w:left="832" w:hanging="357"/>
      </w:pPr>
      <w:rPr>
        <w:rFonts w:hint="default" w:ascii="Symbol" w:hAnsi="Symbol" w:eastAsia="Symbol" w:cs="Symbol"/>
        <w:w w:val="99"/>
        <w:sz w:val="24"/>
        <w:szCs w:val="24"/>
      </w:rPr>
    </w:lvl>
    <w:lvl w:ilvl="2">
      <w:start w:val="0"/>
      <w:numFmt w:val="bullet"/>
      <w:lvlText w:val="•"/>
      <w:lvlJc w:val="left"/>
      <w:pPr>
        <w:ind w:left="1796" w:hanging="357"/>
      </w:pPr>
      <w:rPr>
        <w:rFonts w:hint="default"/>
      </w:rPr>
    </w:lvl>
    <w:lvl w:ilvl="3">
      <w:start w:val="0"/>
      <w:numFmt w:val="bullet"/>
      <w:lvlText w:val="•"/>
      <w:lvlJc w:val="left"/>
      <w:pPr>
        <w:ind w:left="2752" w:hanging="357"/>
      </w:pPr>
      <w:rPr>
        <w:rFonts w:hint="default"/>
      </w:rPr>
    </w:lvl>
    <w:lvl w:ilvl="4">
      <w:start w:val="0"/>
      <w:numFmt w:val="bullet"/>
      <w:lvlText w:val="•"/>
      <w:lvlJc w:val="left"/>
      <w:pPr>
        <w:ind w:left="3708" w:hanging="357"/>
      </w:pPr>
      <w:rPr>
        <w:rFonts w:hint="default"/>
      </w:rPr>
    </w:lvl>
    <w:lvl w:ilvl="5">
      <w:start w:val="0"/>
      <w:numFmt w:val="bullet"/>
      <w:lvlText w:val="•"/>
      <w:lvlJc w:val="left"/>
      <w:pPr>
        <w:ind w:left="4664" w:hanging="357"/>
      </w:pPr>
      <w:rPr>
        <w:rFonts w:hint="default"/>
      </w:rPr>
    </w:lvl>
    <w:lvl w:ilvl="6">
      <w:start w:val="0"/>
      <w:numFmt w:val="bullet"/>
      <w:lvlText w:val="•"/>
      <w:lvlJc w:val="left"/>
      <w:pPr>
        <w:ind w:left="5621" w:hanging="357"/>
      </w:pPr>
      <w:rPr>
        <w:rFonts w:hint="default"/>
      </w:rPr>
    </w:lvl>
    <w:lvl w:ilvl="7">
      <w:start w:val="0"/>
      <w:numFmt w:val="bullet"/>
      <w:lvlText w:val="•"/>
      <w:lvlJc w:val="left"/>
      <w:pPr>
        <w:ind w:left="6577" w:hanging="357"/>
      </w:pPr>
      <w:rPr>
        <w:rFonts w:hint="default"/>
      </w:rPr>
    </w:lvl>
    <w:lvl w:ilvl="8">
      <w:start w:val="0"/>
      <w:numFmt w:val="bullet"/>
      <w:lvlText w:val="•"/>
      <w:lvlJc w:val="left"/>
      <w:pPr>
        <w:ind w:left="7533" w:hanging="357"/>
      </w:pPr>
      <w:rPr>
        <w:rFonts w:hint="default"/>
      </w:rPr>
    </w:lvl>
  </w:abstractNum>
  <w:abstractNum w:abstractNumId="0">
    <w:multiLevelType w:val="hybridMultilevel"/>
    <w:lvl w:ilvl="0">
      <w:start w:val="1"/>
      <w:numFmt w:val="upperRoman"/>
      <w:lvlText w:val="%1."/>
      <w:lvlJc w:val="left"/>
      <w:pPr>
        <w:ind w:left="402" w:hanging="284"/>
        <w:jc w:val="left"/>
      </w:pPr>
      <w:rPr>
        <w:rFonts w:hint="default" w:ascii="Times New Roman" w:hAnsi="Times New Roman" w:eastAsia="Times New Roman" w:cs="Times New Roman"/>
        <w:b/>
        <w:bCs/>
        <w:spacing w:val="0"/>
        <w:w w:val="100"/>
        <w:sz w:val="24"/>
        <w:szCs w:val="24"/>
      </w:rPr>
    </w:lvl>
    <w:lvl w:ilvl="1">
      <w:start w:val="1"/>
      <w:numFmt w:val="decimal"/>
      <w:lvlText w:val="%2."/>
      <w:lvlJc w:val="left"/>
      <w:pPr>
        <w:ind w:left="118" w:hanging="309"/>
        <w:jc w:val="left"/>
      </w:pPr>
      <w:rPr>
        <w:rFonts w:hint="default" w:ascii="Times New Roman" w:hAnsi="Times New Roman" w:eastAsia="Times New Roman" w:cs="Times New Roman"/>
        <w:spacing w:val="-16"/>
        <w:w w:val="99"/>
        <w:sz w:val="24"/>
        <w:szCs w:val="24"/>
      </w:rPr>
    </w:lvl>
    <w:lvl w:ilvl="2">
      <w:start w:val="0"/>
      <w:numFmt w:val="bullet"/>
      <w:lvlText w:val="•"/>
      <w:lvlJc w:val="left"/>
      <w:pPr>
        <w:ind w:left="1405" w:hanging="309"/>
      </w:pPr>
      <w:rPr>
        <w:rFonts w:hint="default"/>
      </w:rPr>
    </w:lvl>
    <w:lvl w:ilvl="3">
      <w:start w:val="0"/>
      <w:numFmt w:val="bullet"/>
      <w:lvlText w:val="•"/>
      <w:lvlJc w:val="left"/>
      <w:pPr>
        <w:ind w:left="2410" w:hanging="309"/>
      </w:pPr>
      <w:rPr>
        <w:rFonts w:hint="default"/>
      </w:rPr>
    </w:lvl>
    <w:lvl w:ilvl="4">
      <w:start w:val="0"/>
      <w:numFmt w:val="bullet"/>
      <w:lvlText w:val="•"/>
      <w:lvlJc w:val="left"/>
      <w:pPr>
        <w:ind w:left="3415" w:hanging="309"/>
      </w:pPr>
      <w:rPr>
        <w:rFonts w:hint="default"/>
      </w:rPr>
    </w:lvl>
    <w:lvl w:ilvl="5">
      <w:start w:val="0"/>
      <w:numFmt w:val="bullet"/>
      <w:lvlText w:val="•"/>
      <w:lvlJc w:val="left"/>
      <w:pPr>
        <w:ind w:left="4420" w:hanging="309"/>
      </w:pPr>
      <w:rPr>
        <w:rFonts w:hint="default"/>
      </w:rPr>
    </w:lvl>
    <w:lvl w:ilvl="6">
      <w:start w:val="0"/>
      <w:numFmt w:val="bullet"/>
      <w:lvlText w:val="•"/>
      <w:lvlJc w:val="left"/>
      <w:pPr>
        <w:ind w:left="5425" w:hanging="309"/>
      </w:pPr>
      <w:rPr>
        <w:rFonts w:hint="default"/>
      </w:rPr>
    </w:lvl>
    <w:lvl w:ilvl="7">
      <w:start w:val="0"/>
      <w:numFmt w:val="bullet"/>
      <w:lvlText w:val="•"/>
      <w:lvlJc w:val="left"/>
      <w:pPr>
        <w:ind w:left="6430" w:hanging="309"/>
      </w:pPr>
      <w:rPr>
        <w:rFonts w:hint="default"/>
      </w:rPr>
    </w:lvl>
    <w:lvl w:ilvl="8">
      <w:start w:val="0"/>
      <w:numFmt w:val="bullet"/>
      <w:lvlText w:val="•"/>
      <w:lvlJc w:val="left"/>
      <w:pPr>
        <w:ind w:left="7435" w:hanging="309"/>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120"/>
      <w:ind w:left="475"/>
      <w:jc w:val="both"/>
    </w:pPr>
    <w:rPr>
      <w:rFonts w:ascii="Times New Roman" w:hAnsi="Times New Roman" w:eastAsia="Times New Roman" w:cs="Times New Roman"/>
      <w:sz w:val="24"/>
      <w:szCs w:val="24"/>
    </w:rPr>
  </w:style>
  <w:style w:styleId="Heading1" w:type="paragraph">
    <w:name w:val="Heading 1"/>
    <w:basedOn w:val="Normal"/>
    <w:uiPriority w:val="1"/>
    <w:qFormat/>
    <w:pPr>
      <w:ind w:left="402" w:hanging="284"/>
      <w:jc w:val="both"/>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spacing w:before="120"/>
      <w:ind w:left="475" w:right="112" w:hanging="357"/>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Wirant Iwona</dc:creator>
  <dcterms:created xsi:type="dcterms:W3CDTF">2025-06-16T17:58:21Z</dcterms:created>
  <dcterms:modified xsi:type="dcterms:W3CDTF">2025-06-16T17:58:21Z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Microsoft Office Word</vt:lpwstr>
  </property>
  <property fmtid="{D5CDD505-2E9C-101B-9397-08002B2CF9AE}" pid="4" name="LastSaved">
    <vt:filetime>2025-06-16T00:00:00Z</vt:filetime>
  </property>
</Properties>
</file>